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21D68" w14:textId="77777777" w:rsidR="00935A83" w:rsidRDefault="00935A83">
      <w:pPr>
        <w:pStyle w:val="Corpsdetexte"/>
        <w:rPr>
          <w:rFonts w:ascii="Times New Roman"/>
        </w:rPr>
      </w:pPr>
    </w:p>
    <w:p w14:paraId="7A4EF578" w14:textId="77777777" w:rsidR="00935A83" w:rsidRDefault="00935A83">
      <w:pPr>
        <w:pStyle w:val="Corpsdetexte"/>
        <w:spacing w:before="133"/>
        <w:rPr>
          <w:rFonts w:ascii="Times New Roman"/>
        </w:rPr>
      </w:pPr>
    </w:p>
    <w:p w14:paraId="422C02DE" w14:textId="77777777" w:rsidR="00935A83" w:rsidRPr="00F265AB" w:rsidRDefault="000F7AA1">
      <w:pPr>
        <w:pStyle w:val="Corpsdetexte"/>
        <w:spacing w:line="312" w:lineRule="auto"/>
        <w:ind w:left="165" w:right="4812"/>
        <w:rPr>
          <w:lang w:val="fr-FR"/>
        </w:rPr>
      </w:pPr>
      <w:r w:rsidRPr="00F265AB">
        <w:rPr>
          <w:w w:val="110"/>
          <w:sz w:val="19"/>
          <w:lang w:val="fr-FR"/>
        </w:rPr>
        <w:t>Congrès mondial de l'AIPPI 2025 – Résolution adoptée à Yokohama</w:t>
      </w:r>
    </w:p>
    <w:p w14:paraId="2D76C54F" w14:textId="77777777" w:rsidR="00935A83" w:rsidRPr="00F265AB" w:rsidRDefault="000F7AA1">
      <w:pPr>
        <w:pStyle w:val="Corpsdetexte"/>
        <w:spacing w:before="2"/>
        <w:ind w:left="165"/>
        <w:rPr>
          <w:lang w:val="fr-FR"/>
        </w:rPr>
      </w:pPr>
      <w:r w:rsidRPr="00F265AB">
        <w:rPr>
          <w:w w:val="105"/>
          <w:sz w:val="19"/>
          <w:lang w:val="fr-FR"/>
        </w:rPr>
        <w:t>16 septembre</w:t>
      </w:r>
      <w:r w:rsidRPr="00F265AB">
        <w:rPr>
          <w:spacing w:val="-4"/>
          <w:w w:val="105"/>
          <w:sz w:val="19"/>
          <w:lang w:val="fr-FR"/>
        </w:rPr>
        <w:t xml:space="preserve"> 2025</w:t>
      </w:r>
    </w:p>
    <w:p w14:paraId="407C2631" w14:textId="77777777" w:rsidR="00935A83" w:rsidRPr="00F265AB" w:rsidRDefault="00935A83">
      <w:pPr>
        <w:pStyle w:val="Corpsdetexte"/>
        <w:rPr>
          <w:lang w:val="fr-FR"/>
        </w:rPr>
      </w:pPr>
    </w:p>
    <w:p w14:paraId="75D1EC01" w14:textId="77777777" w:rsidR="00935A83" w:rsidRPr="00F265AB" w:rsidRDefault="00935A83">
      <w:pPr>
        <w:pStyle w:val="Corpsdetexte"/>
        <w:spacing w:before="64"/>
        <w:rPr>
          <w:lang w:val="fr-FR"/>
        </w:rPr>
      </w:pPr>
    </w:p>
    <w:p w14:paraId="1157EA23" w14:textId="77777777" w:rsidR="00935A83" w:rsidRPr="0045522B" w:rsidRDefault="000F7AA1">
      <w:pPr>
        <w:pStyle w:val="Titre1"/>
        <w:jc w:val="center"/>
        <w:rPr>
          <w:rFonts w:ascii="Arial" w:hAnsi="Arial" w:cs="Arial"/>
          <w:bCs w:val="0"/>
          <w:sz w:val="28"/>
          <w:szCs w:val="28"/>
          <w:lang w:val="fr-FR"/>
        </w:rPr>
      </w:pPr>
      <w:r w:rsidRPr="0045522B">
        <w:rPr>
          <w:rFonts w:ascii="Arial" w:hAnsi="Arial" w:cs="Arial"/>
          <w:bCs w:val="0"/>
          <w:spacing w:val="-2"/>
          <w:sz w:val="22"/>
          <w:szCs w:val="28"/>
          <w:lang w:val="fr-FR"/>
        </w:rPr>
        <w:t>Résolution</w:t>
      </w:r>
    </w:p>
    <w:p w14:paraId="74BDF948" w14:textId="77777777" w:rsidR="00935A83" w:rsidRPr="0045522B" w:rsidRDefault="00935A83">
      <w:pPr>
        <w:pStyle w:val="Corpsdetexte"/>
        <w:spacing w:before="13"/>
        <w:rPr>
          <w:b/>
          <w:sz w:val="28"/>
          <w:szCs w:val="24"/>
          <w:lang w:val="fr-FR"/>
        </w:rPr>
      </w:pPr>
    </w:p>
    <w:p w14:paraId="63F08B01" w14:textId="296E7620" w:rsidR="00F265AB" w:rsidRPr="0045522B" w:rsidRDefault="000F7AA1">
      <w:pPr>
        <w:spacing w:line="468" w:lineRule="auto"/>
        <w:ind w:left="2878" w:right="1423" w:firstLine="169"/>
        <w:rPr>
          <w:b/>
          <w:w w:val="110"/>
          <w:szCs w:val="24"/>
          <w:lang w:val="fr-FR"/>
        </w:rPr>
      </w:pPr>
      <w:r w:rsidRPr="0045522B">
        <w:rPr>
          <w:b/>
          <w:szCs w:val="24"/>
          <w:lang w:val="fr-FR"/>
        </w:rPr>
        <w:t xml:space="preserve">2025 </w:t>
      </w:r>
      <w:r w:rsidRPr="0045522B">
        <w:rPr>
          <w:b/>
          <w:w w:val="110"/>
          <w:szCs w:val="24"/>
          <w:lang w:val="fr-FR"/>
        </w:rPr>
        <w:t xml:space="preserve">– </w:t>
      </w:r>
      <w:r w:rsidRPr="0045522B">
        <w:rPr>
          <w:b/>
          <w:szCs w:val="24"/>
          <w:lang w:val="fr-FR"/>
        </w:rPr>
        <w:t xml:space="preserve">Question d'étude </w:t>
      </w:r>
      <w:r w:rsidRPr="0045522B">
        <w:rPr>
          <w:b/>
          <w:w w:val="110"/>
          <w:szCs w:val="24"/>
          <w:lang w:val="fr-FR"/>
        </w:rPr>
        <w:t xml:space="preserve">– </w:t>
      </w:r>
      <w:r w:rsidR="00F265AB" w:rsidRPr="0045522B">
        <w:rPr>
          <w:b/>
          <w:w w:val="110"/>
          <w:szCs w:val="24"/>
          <w:lang w:val="fr-FR"/>
        </w:rPr>
        <w:t>Marques</w:t>
      </w:r>
    </w:p>
    <w:p w14:paraId="371144AE" w14:textId="226A52A0" w:rsidR="00935A83" w:rsidRPr="0045522B" w:rsidRDefault="000F7AA1" w:rsidP="0045522B">
      <w:pPr>
        <w:spacing w:line="468" w:lineRule="auto"/>
        <w:ind w:left="3119" w:right="1423" w:firstLine="169"/>
        <w:rPr>
          <w:b/>
          <w:sz w:val="28"/>
          <w:szCs w:val="24"/>
          <w:lang w:val="fr-FR"/>
        </w:rPr>
      </w:pPr>
      <w:r w:rsidRPr="0045522B">
        <w:rPr>
          <w:b/>
          <w:spacing w:val="-8"/>
          <w:szCs w:val="24"/>
          <w:lang w:val="fr-FR"/>
        </w:rPr>
        <w:t>Épuisement des droits de marque</w:t>
      </w:r>
    </w:p>
    <w:p w14:paraId="2C849510" w14:textId="77777777" w:rsidR="00935A83" w:rsidRPr="00F265AB" w:rsidRDefault="000F7AA1">
      <w:pPr>
        <w:pStyle w:val="Corpsdetexte"/>
        <w:spacing w:before="2"/>
        <w:rPr>
          <w:rFonts w:ascii="Arial Black"/>
          <w:sz w:val="17"/>
          <w:lang w:val="fr-FR"/>
        </w:rPr>
      </w:pPr>
      <w:r>
        <w:rPr>
          <w:rFonts w:ascii="Arial Black"/>
          <w:noProof/>
          <w:sz w:val="17"/>
        </w:rPr>
        <mc:AlternateContent>
          <mc:Choice Requires="wps">
            <w:drawing>
              <wp:anchor distT="0" distB="0" distL="0" distR="0" simplePos="0" relativeHeight="251658240" behindDoc="1" locked="0" layoutInCell="1" allowOverlap="1" wp14:anchorId="1D566798" wp14:editId="16D0EEB0">
                <wp:simplePos x="0" y="0"/>
                <wp:positionH relativeFrom="page">
                  <wp:posOffset>895985</wp:posOffset>
                </wp:positionH>
                <wp:positionV relativeFrom="paragraph">
                  <wp:posOffset>168898</wp:posOffset>
                </wp:positionV>
                <wp:extent cx="5777230" cy="6350"/>
                <wp:effectExtent l="0" t="0" r="0" b="0"/>
                <wp:wrapTopAndBottom/>
                <wp:docPr id="4" name="Graphic 4"/>
                <wp:cNvGraphicFramePr/>
                <a:graphic xmlns:a="http://schemas.openxmlformats.org/drawingml/2006/main">
                  <a:graphicData uri="http://schemas.microsoft.com/office/word/2010/wordprocessingShape">
                    <wps:wsp>
                      <wps:cNvSpPr/>
                      <wps:spPr>
                        <a:xfrm>
                          <a:off x="0" y="0"/>
                          <a:ext cx="5777230" cy="6350"/>
                        </a:xfrm>
                        <a:custGeom>
                          <a:avLst/>
                          <a:gdLst/>
                          <a:ahLst/>
                          <a:cxnLst/>
                          <a:rect l="l" t="t" r="r" b="b"/>
                          <a:pathLst>
                            <a:path w="5777230" h="6350">
                              <a:moveTo>
                                <a:pt x="5776975" y="0"/>
                              </a:moveTo>
                              <a:lnTo>
                                <a:pt x="0" y="0"/>
                              </a:lnTo>
                              <a:lnTo>
                                <a:pt x="0" y="6350"/>
                              </a:lnTo>
                              <a:lnTo>
                                <a:pt x="5776975" y="6350"/>
                              </a:lnTo>
                              <a:lnTo>
                                <a:pt x="5776975"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w14:anchorId="6CA70DB6" id="Graphic 4" o:spid="_x0000_s1026" style="position:absolute;margin-left:70.55pt;margin-top:13.3pt;width:454.9pt;height:.5pt;z-index:-251658240;visibility:visible;mso-wrap-style:square;mso-wrap-distance-left:0;mso-wrap-distance-top:0;mso-wrap-distance-right:0;mso-wrap-distance-bottom:0;mso-position-horizontal:absolute;mso-position-horizontal-relative:page;mso-position-vertical:absolute;mso-position-vertical-relative:text;v-text-anchor:top" coordsize="57772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" path="m5776975,l,,,6350r5776975,l5776975,xe" fillcolor="black" stroked="f">
                <v:path arrowok="t"/>
                <w10:wrap type="topAndBottom" anchorx="page"/>
              </v:shape>
            </w:pict>
          </mc:Fallback>
        </mc:AlternateContent>
      </w:r>
    </w:p>
    <w:p w14:paraId="75575615" w14:textId="77777777" w:rsidR="00935A83" w:rsidRPr="00F265AB" w:rsidRDefault="00935A83">
      <w:pPr>
        <w:pStyle w:val="Corpsdetexte"/>
        <w:spacing w:before="28"/>
        <w:rPr>
          <w:rFonts w:ascii="Arial Black"/>
          <w:lang w:val="fr-FR"/>
        </w:rPr>
      </w:pPr>
    </w:p>
    <w:p w14:paraId="328E6A93" w14:textId="77777777" w:rsidR="00935A83" w:rsidRPr="0045522B" w:rsidRDefault="000F7AA1">
      <w:pPr>
        <w:pStyle w:val="Titre2"/>
        <w:rPr>
          <w:rFonts w:ascii="Arial" w:hAnsi="Arial" w:cs="Arial"/>
          <w:bCs w:val="0"/>
          <w:sz w:val="28"/>
          <w:szCs w:val="28"/>
          <w:lang w:val="fr-FR"/>
        </w:rPr>
      </w:pPr>
      <w:r w:rsidRPr="0045522B">
        <w:rPr>
          <w:rFonts w:ascii="Arial" w:hAnsi="Arial" w:cs="Arial"/>
          <w:bCs w:val="0"/>
          <w:spacing w:val="-2"/>
          <w:szCs w:val="28"/>
          <w:lang w:val="fr-FR"/>
        </w:rPr>
        <w:t>Contexte</w:t>
      </w:r>
    </w:p>
    <w:p w14:paraId="1C9B687D" w14:textId="77777777" w:rsidR="00935A83" w:rsidRPr="00F265AB" w:rsidRDefault="00935A83">
      <w:pPr>
        <w:pStyle w:val="Corpsdetexte"/>
        <w:spacing w:before="275"/>
        <w:rPr>
          <w:rFonts w:ascii="Arial Black"/>
          <w:lang w:val="fr-FR"/>
        </w:rPr>
      </w:pPr>
    </w:p>
    <w:p w14:paraId="11044A25" w14:textId="0D55ADBA" w:rsidR="00935A83" w:rsidRPr="00F265AB" w:rsidRDefault="000F7AA1">
      <w:pPr>
        <w:pStyle w:val="Paragraphedeliste"/>
        <w:numPr>
          <w:ilvl w:val="0"/>
          <w:numId w:val="3"/>
        </w:numPr>
        <w:tabs>
          <w:tab w:val="left" w:pos="734"/>
          <w:tab w:val="left" w:pos="736"/>
        </w:tabs>
        <w:spacing w:before="1" w:line="312" w:lineRule="auto"/>
        <w:ind w:right="149"/>
        <w:rPr>
          <w:lang w:val="fr-FR"/>
        </w:rPr>
      </w:pPr>
      <w:r w:rsidRPr="00F265AB">
        <w:rPr>
          <w:w w:val="115"/>
          <w:sz w:val="19"/>
          <w:lang w:val="fr-FR"/>
        </w:rPr>
        <w:t xml:space="preserve">La présente résolution concerne plusieurs aspects clés liés à l'épuisement des droits de marque, </w:t>
      </w:r>
      <w:r w:rsidR="00386757">
        <w:rPr>
          <w:w w:val="115"/>
          <w:sz w:val="19"/>
          <w:lang w:val="fr-FR"/>
        </w:rPr>
        <w:t xml:space="preserve">étant entendu </w:t>
      </w:r>
      <w:r w:rsidRPr="00F265AB">
        <w:rPr>
          <w:w w:val="115"/>
          <w:sz w:val="19"/>
          <w:lang w:val="fr-FR"/>
        </w:rPr>
        <w:t>dans certaines juridictions comme la « mise sur le marché concerné » et dans d'autres</w:t>
      </w:r>
      <w:r w:rsidR="00386757">
        <w:rPr>
          <w:w w:val="115"/>
          <w:sz w:val="19"/>
          <w:lang w:val="fr-FR"/>
        </w:rPr>
        <w:t>,</w:t>
      </w:r>
      <w:r w:rsidRPr="00F265AB">
        <w:rPr>
          <w:w w:val="115"/>
          <w:sz w:val="19"/>
          <w:lang w:val="fr-FR"/>
        </w:rPr>
        <w:t xml:space="preserve"> comme la « </w:t>
      </w:r>
      <w:r w:rsidRPr="00F265AB">
        <w:rPr>
          <w:i/>
          <w:w w:val="115"/>
          <w:sz w:val="19"/>
          <w:lang w:val="fr-FR"/>
        </w:rPr>
        <w:t xml:space="preserve">doctrine de la première vente </w:t>
      </w:r>
      <w:r w:rsidRPr="00F265AB">
        <w:rPr>
          <w:w w:val="115"/>
          <w:sz w:val="19"/>
          <w:lang w:val="fr-FR"/>
        </w:rPr>
        <w:t xml:space="preserve">». L'épuisement des droits de marque </w:t>
      </w:r>
      <w:r w:rsidR="00386757">
        <w:rPr>
          <w:w w:val="115"/>
          <w:sz w:val="19"/>
          <w:lang w:val="fr-FR"/>
        </w:rPr>
        <w:t xml:space="preserve">que ce soit </w:t>
      </w:r>
      <w:r w:rsidRPr="00F265AB">
        <w:rPr>
          <w:w w:val="115"/>
          <w:sz w:val="19"/>
          <w:lang w:val="fr-FR"/>
        </w:rPr>
        <w:t xml:space="preserve">au titre de </w:t>
      </w:r>
      <w:r w:rsidR="00386757">
        <w:rPr>
          <w:w w:val="115"/>
          <w:sz w:val="19"/>
          <w:lang w:val="fr-FR"/>
        </w:rPr>
        <w:t>l’un ou l’autre de</w:t>
      </w:r>
      <w:r w:rsidR="004D628E">
        <w:rPr>
          <w:w w:val="115"/>
          <w:sz w:val="19"/>
          <w:lang w:val="fr-FR"/>
        </w:rPr>
        <w:t xml:space="preserve"> ces</w:t>
      </w:r>
      <w:r w:rsidR="00386757">
        <w:rPr>
          <w:w w:val="115"/>
          <w:sz w:val="19"/>
          <w:lang w:val="fr-FR"/>
        </w:rPr>
        <w:t xml:space="preserve"> </w:t>
      </w:r>
      <w:r w:rsidRPr="00F265AB">
        <w:rPr>
          <w:w w:val="115"/>
          <w:sz w:val="19"/>
          <w:lang w:val="fr-FR"/>
        </w:rPr>
        <w:t>deux concepts susmentionnés sera désigné conjointement sous le terme « épuisement des droits de marque » dans la présente résolution.</w:t>
      </w:r>
    </w:p>
    <w:p w14:paraId="6C9D32E6" w14:textId="77777777" w:rsidR="00935A83" w:rsidRPr="00F265AB" w:rsidRDefault="00935A83">
      <w:pPr>
        <w:pStyle w:val="Corpsdetexte"/>
        <w:spacing w:before="83"/>
        <w:rPr>
          <w:lang w:val="fr-FR"/>
        </w:rPr>
      </w:pPr>
    </w:p>
    <w:p w14:paraId="65B68A01" w14:textId="05D0BDFD" w:rsidR="00935A83" w:rsidRPr="00F265AB" w:rsidRDefault="00B71412">
      <w:pPr>
        <w:pStyle w:val="Paragraphedeliste"/>
        <w:numPr>
          <w:ilvl w:val="0"/>
          <w:numId w:val="3"/>
        </w:numPr>
        <w:tabs>
          <w:tab w:val="left" w:pos="736"/>
        </w:tabs>
        <w:spacing w:line="314" w:lineRule="auto"/>
        <w:ind w:right="153"/>
        <w:rPr>
          <w:lang w:val="fr-FR"/>
        </w:rPr>
      </w:pPr>
      <w:r>
        <w:rPr>
          <w:w w:val="115"/>
          <w:sz w:val="19"/>
          <w:lang w:val="fr-FR"/>
        </w:rPr>
        <w:t xml:space="preserve">Par application de </w:t>
      </w:r>
      <w:r w:rsidR="000F7AA1" w:rsidRPr="00F265AB">
        <w:rPr>
          <w:w w:val="115"/>
          <w:sz w:val="19"/>
          <w:lang w:val="fr-FR"/>
        </w:rPr>
        <w:t xml:space="preserve">l'épuisement des droits liés à la marque, </w:t>
      </w:r>
      <w:r w:rsidRPr="00F265AB">
        <w:rPr>
          <w:w w:val="115"/>
          <w:sz w:val="19"/>
          <w:lang w:val="fr-FR"/>
        </w:rPr>
        <w:t>en principe</w:t>
      </w:r>
      <w:r>
        <w:rPr>
          <w:w w:val="115"/>
          <w:sz w:val="19"/>
          <w:lang w:val="fr-FR"/>
        </w:rPr>
        <w:t>,</w:t>
      </w:r>
      <w:r w:rsidRPr="00F265AB">
        <w:rPr>
          <w:w w:val="115"/>
          <w:sz w:val="19"/>
          <w:lang w:val="fr-FR"/>
        </w:rPr>
        <w:t xml:space="preserve"> </w:t>
      </w:r>
      <w:r w:rsidR="000F7AA1" w:rsidRPr="00F265AB">
        <w:rPr>
          <w:w w:val="115"/>
          <w:sz w:val="19"/>
          <w:lang w:val="fr-FR"/>
        </w:rPr>
        <w:t xml:space="preserve">une marque ne confère pas </w:t>
      </w:r>
      <w:r>
        <w:rPr>
          <w:w w:val="115"/>
          <w:sz w:val="19"/>
          <w:lang w:val="fr-FR"/>
        </w:rPr>
        <w:t>au</w:t>
      </w:r>
      <w:r w:rsidR="000F7AA1" w:rsidRPr="00F265AB">
        <w:rPr>
          <w:w w:val="115"/>
          <w:sz w:val="19"/>
          <w:lang w:val="fr-FR"/>
        </w:rPr>
        <w:t xml:space="preserve"> titulaire </w:t>
      </w:r>
      <w:r>
        <w:rPr>
          <w:w w:val="115"/>
          <w:sz w:val="19"/>
          <w:lang w:val="fr-FR"/>
        </w:rPr>
        <w:t>de cette marque l</w:t>
      </w:r>
      <w:r w:rsidR="000F7AA1" w:rsidRPr="00F265AB">
        <w:rPr>
          <w:w w:val="115"/>
          <w:sz w:val="19"/>
          <w:lang w:val="fr-FR"/>
        </w:rPr>
        <w:t xml:space="preserve">e droit d'interdire son utilisation pour des produits qui ont été mis sur le marché concerné, </w:t>
      </w:r>
      <w:r>
        <w:rPr>
          <w:w w:val="115"/>
          <w:sz w:val="19"/>
          <w:lang w:val="fr-FR"/>
        </w:rPr>
        <w:t xml:space="preserve">en ce </w:t>
      </w:r>
      <w:r w:rsidR="009A74AA">
        <w:rPr>
          <w:w w:val="115"/>
          <w:sz w:val="19"/>
          <w:lang w:val="fr-FR"/>
        </w:rPr>
        <w:t>inclus</w:t>
      </w:r>
      <w:r>
        <w:rPr>
          <w:w w:val="115"/>
          <w:sz w:val="19"/>
          <w:lang w:val="fr-FR"/>
        </w:rPr>
        <w:t xml:space="preserve"> la </w:t>
      </w:r>
      <w:r w:rsidR="000F7AA1" w:rsidRPr="00F265AB">
        <w:rPr>
          <w:w w:val="115"/>
          <w:sz w:val="19"/>
          <w:lang w:val="fr-FR"/>
        </w:rPr>
        <w:t>première vente, sous cette marque par le titulaire de la marque ou avec son consentement.</w:t>
      </w:r>
    </w:p>
    <w:p w14:paraId="26D92A4C" w14:textId="77777777" w:rsidR="00935A83" w:rsidRPr="00F265AB" w:rsidRDefault="00935A83">
      <w:pPr>
        <w:pStyle w:val="Corpsdetexte"/>
        <w:spacing w:before="73"/>
        <w:rPr>
          <w:lang w:val="fr-FR"/>
        </w:rPr>
      </w:pPr>
    </w:p>
    <w:p w14:paraId="74386898" w14:textId="221B707E" w:rsidR="00935A83" w:rsidRPr="00F265AB" w:rsidRDefault="000F7AA1">
      <w:pPr>
        <w:pStyle w:val="Paragraphedeliste"/>
        <w:numPr>
          <w:ilvl w:val="0"/>
          <w:numId w:val="3"/>
        </w:numPr>
        <w:tabs>
          <w:tab w:val="left" w:pos="734"/>
          <w:tab w:val="left" w:pos="736"/>
        </w:tabs>
        <w:spacing w:line="312" w:lineRule="auto"/>
        <w:ind w:right="151"/>
        <w:rPr>
          <w:lang w:val="fr-FR"/>
        </w:rPr>
      </w:pPr>
      <w:r w:rsidRPr="00F265AB">
        <w:rPr>
          <w:spacing w:val="-2"/>
          <w:w w:val="115"/>
          <w:sz w:val="19"/>
          <w:lang w:val="fr-FR"/>
        </w:rPr>
        <w:t xml:space="preserve">La présente résolution ne traite pas des questions spécifiques </w:t>
      </w:r>
      <w:r w:rsidRPr="00F265AB">
        <w:rPr>
          <w:w w:val="115"/>
          <w:sz w:val="19"/>
          <w:lang w:val="fr-FR"/>
        </w:rPr>
        <w:t xml:space="preserve">liées </w:t>
      </w:r>
      <w:r w:rsidRPr="00F265AB">
        <w:rPr>
          <w:spacing w:val="-2"/>
          <w:w w:val="115"/>
          <w:sz w:val="19"/>
          <w:lang w:val="fr-FR"/>
        </w:rPr>
        <w:t xml:space="preserve">à l'importation parallèle </w:t>
      </w:r>
      <w:r w:rsidRPr="00F265AB">
        <w:rPr>
          <w:w w:val="115"/>
          <w:sz w:val="19"/>
          <w:lang w:val="fr-FR"/>
        </w:rPr>
        <w:t xml:space="preserve">de produits réglementés, aux marques non enregistrées et à l'épuisement des droits de marque dans le </w:t>
      </w:r>
      <w:proofErr w:type="spellStart"/>
      <w:r w:rsidR="003C19FE">
        <w:rPr>
          <w:w w:val="115"/>
          <w:sz w:val="19"/>
          <w:lang w:val="fr-FR"/>
        </w:rPr>
        <w:t>M</w:t>
      </w:r>
      <w:r w:rsidRPr="00F265AB">
        <w:rPr>
          <w:w w:val="115"/>
          <w:sz w:val="19"/>
          <w:lang w:val="fr-FR"/>
        </w:rPr>
        <w:t>étaverse</w:t>
      </w:r>
      <w:proofErr w:type="spellEnd"/>
      <w:r w:rsidRPr="00F265AB">
        <w:rPr>
          <w:w w:val="115"/>
          <w:sz w:val="19"/>
          <w:lang w:val="fr-FR"/>
        </w:rPr>
        <w:t>, ni à la liberté d'expression, qui ne relèvent pas de son champ d'application.</w:t>
      </w:r>
    </w:p>
    <w:p w14:paraId="331177E5" w14:textId="77777777" w:rsidR="00935A83" w:rsidRPr="00F265AB" w:rsidRDefault="00935A83">
      <w:pPr>
        <w:pStyle w:val="Corpsdetexte"/>
        <w:spacing w:before="82"/>
        <w:rPr>
          <w:lang w:val="fr-FR"/>
        </w:rPr>
      </w:pPr>
    </w:p>
    <w:p w14:paraId="40315C97" w14:textId="77777777" w:rsidR="00935A83" w:rsidRPr="00F265AB" w:rsidRDefault="000F7AA1">
      <w:pPr>
        <w:pStyle w:val="Paragraphedeliste"/>
        <w:numPr>
          <w:ilvl w:val="0"/>
          <w:numId w:val="3"/>
        </w:numPr>
        <w:tabs>
          <w:tab w:val="left" w:pos="734"/>
          <w:tab w:val="left" w:pos="736"/>
        </w:tabs>
        <w:spacing w:line="312" w:lineRule="auto"/>
        <w:ind w:right="162"/>
        <w:rPr>
          <w:lang w:val="fr-FR"/>
        </w:rPr>
      </w:pPr>
      <w:r w:rsidRPr="00F265AB">
        <w:rPr>
          <w:w w:val="110"/>
          <w:sz w:val="19"/>
          <w:lang w:val="fr-FR"/>
        </w:rPr>
        <w:t xml:space="preserve">43 rapports ont été reçus des groupes nationaux et régionaux de l'AIPPI et de membres indépendants, fournissant des informations détaillées et une analyse des lois nationales et régionales relatives à la présente résolution. Ces rapports ont été examinés par l'équipe du rapporteur général de l'AIPPI et synthétisés dans un rapport de synthèse (disponible à l'adresse </w:t>
      </w:r>
      <w:hyperlink r:id="rId7">
        <w:r w:rsidR="00935A83" w:rsidRPr="00F265AB">
          <w:rPr>
            <w:w w:val="110"/>
            <w:sz w:val="19"/>
            <w:lang w:val="fr-FR"/>
          </w:rPr>
          <w:t>www.aippi.org).</w:t>
        </w:r>
      </w:hyperlink>
    </w:p>
    <w:p w14:paraId="40B9E2E0" w14:textId="77777777" w:rsidR="00935A83" w:rsidRPr="00F265AB" w:rsidRDefault="00935A83">
      <w:pPr>
        <w:pStyle w:val="Paragraphedeliste"/>
        <w:spacing w:line="312" w:lineRule="auto"/>
        <w:rPr>
          <w:lang w:val="fr-FR"/>
        </w:rPr>
        <w:sectPr w:rsidR="00935A83" w:rsidRPr="00F265AB">
          <w:headerReference w:type="default" r:id="rId8"/>
          <w:footerReference w:type="default" r:id="rId9"/>
          <w:type w:val="continuous"/>
          <w:pgSz w:w="11910" w:h="16840"/>
          <w:pgMar w:top="2140" w:right="1275" w:bottom="1180" w:left="1275" w:header="710" w:footer="996" w:gutter="0"/>
          <w:pgNumType w:start="1"/>
          <w:cols w:space="708"/>
        </w:sectPr>
      </w:pPr>
    </w:p>
    <w:p w14:paraId="364172EF" w14:textId="77777777" w:rsidR="00935A83" w:rsidRPr="00F265AB" w:rsidRDefault="00935A83">
      <w:pPr>
        <w:pStyle w:val="Corpsdetexte"/>
        <w:spacing w:before="55"/>
        <w:rPr>
          <w:lang w:val="fr-FR"/>
        </w:rPr>
      </w:pPr>
    </w:p>
    <w:p w14:paraId="07E30036" w14:textId="77777777" w:rsidR="00935A83" w:rsidRPr="00F265AB" w:rsidRDefault="000F7AA1">
      <w:pPr>
        <w:pStyle w:val="Paragraphedeliste"/>
        <w:numPr>
          <w:ilvl w:val="0"/>
          <w:numId w:val="3"/>
        </w:numPr>
        <w:tabs>
          <w:tab w:val="left" w:pos="734"/>
          <w:tab w:val="left" w:pos="736"/>
        </w:tabs>
        <w:spacing w:line="312" w:lineRule="auto"/>
        <w:ind w:right="154"/>
        <w:rPr>
          <w:lang w:val="fr-FR"/>
        </w:rPr>
      </w:pPr>
      <w:r w:rsidRPr="00F265AB">
        <w:rPr>
          <w:w w:val="110"/>
          <w:sz w:val="19"/>
          <w:lang w:val="fr-FR"/>
        </w:rPr>
        <w:t>Lors du Congrès mondial de l'AIPPI à Yokohama en 2025, le sujet de la présente résolution a été examiné plus en détail au sein d'un comité d'étude dédié, puis à nouveau en séance plénière, à la suite de quoi la présente résolution a été adoptée par le comité exécutif de l'AIPPI.</w:t>
      </w:r>
    </w:p>
    <w:p w14:paraId="2A8BD2BD" w14:textId="77777777" w:rsidR="00935A83" w:rsidRPr="00F265AB" w:rsidRDefault="00935A83">
      <w:pPr>
        <w:pStyle w:val="Corpsdetexte"/>
        <w:spacing w:before="47"/>
        <w:rPr>
          <w:lang w:val="fr-FR"/>
        </w:rPr>
      </w:pPr>
    </w:p>
    <w:p w14:paraId="51205C33" w14:textId="77777777" w:rsidR="00935A83" w:rsidRPr="0045522B" w:rsidRDefault="000F7AA1">
      <w:pPr>
        <w:pStyle w:val="Titre2"/>
        <w:rPr>
          <w:rFonts w:ascii="Arial" w:hAnsi="Arial" w:cs="Arial"/>
          <w:sz w:val="28"/>
          <w:szCs w:val="28"/>
        </w:rPr>
      </w:pPr>
      <w:r w:rsidRPr="0045522B">
        <w:rPr>
          <w:rFonts w:ascii="Arial" w:eastAsia="Arial" w:hAnsi="Arial" w:cs="Arial"/>
          <w:w w:val="110"/>
          <w:szCs w:val="28"/>
          <w:lang w:val="fr-FR"/>
        </w:rPr>
        <w:t xml:space="preserve">L'AIPPI </w:t>
      </w:r>
      <w:proofErr w:type="spellStart"/>
      <w:r w:rsidRPr="0045522B">
        <w:rPr>
          <w:rFonts w:ascii="Arial" w:eastAsia="Arial" w:hAnsi="Arial" w:cs="Arial"/>
          <w:w w:val="110"/>
          <w:szCs w:val="28"/>
          <w:lang w:val="fr-FR"/>
        </w:rPr>
        <w:t>décide</w:t>
      </w:r>
      <w:proofErr w:type="spellEnd"/>
      <w:r w:rsidRPr="0045522B">
        <w:rPr>
          <w:rFonts w:ascii="Arial" w:eastAsia="Arial" w:hAnsi="Arial" w:cs="Arial"/>
          <w:w w:val="110"/>
          <w:szCs w:val="28"/>
          <w:lang w:val="fr-FR"/>
        </w:rPr>
        <w:t xml:space="preserve"> que</w:t>
      </w:r>
      <w:r w:rsidRPr="0045522B">
        <w:rPr>
          <w:rFonts w:ascii="Arial" w:hAnsi="Arial" w:cs="Arial"/>
          <w:spacing w:val="-2"/>
          <w:w w:val="90"/>
          <w:szCs w:val="28"/>
        </w:rPr>
        <w:t xml:space="preserve"> :</w:t>
      </w:r>
    </w:p>
    <w:p w14:paraId="617DEB90" w14:textId="77777777" w:rsidR="00935A83" w:rsidRDefault="00935A83">
      <w:pPr>
        <w:pStyle w:val="Corpsdetexte"/>
        <w:spacing w:before="76"/>
        <w:rPr>
          <w:rFonts w:ascii="Arial Black"/>
        </w:rPr>
      </w:pPr>
    </w:p>
    <w:p w14:paraId="36C2E7C0" w14:textId="2B685E52" w:rsidR="00935A83" w:rsidRPr="00F265AB" w:rsidRDefault="009A74AA">
      <w:pPr>
        <w:pStyle w:val="Paragraphedeliste"/>
        <w:numPr>
          <w:ilvl w:val="1"/>
          <w:numId w:val="3"/>
        </w:numPr>
        <w:tabs>
          <w:tab w:val="left" w:pos="884"/>
          <w:tab w:val="left" w:pos="886"/>
        </w:tabs>
        <w:spacing w:line="312" w:lineRule="auto"/>
        <w:ind w:left="886" w:right="168"/>
        <w:rPr>
          <w:lang w:val="fr-FR"/>
        </w:rPr>
      </w:pPr>
      <w:r>
        <w:rPr>
          <w:w w:val="115"/>
          <w:sz w:val="19"/>
          <w:lang w:val="fr-FR"/>
        </w:rPr>
        <w:t xml:space="preserve">Les questions </w:t>
      </w:r>
      <w:r w:rsidR="000F7AA1" w:rsidRPr="00F265AB">
        <w:rPr>
          <w:w w:val="115"/>
          <w:sz w:val="19"/>
          <w:lang w:val="fr-FR"/>
        </w:rPr>
        <w:t>relatives à l'épuisement des droits liés aux marques, comme indiqué dans la présente résolution</w:t>
      </w:r>
      <w:r>
        <w:rPr>
          <w:w w:val="115"/>
          <w:sz w:val="19"/>
          <w:lang w:val="fr-FR"/>
        </w:rPr>
        <w:t xml:space="preserve"> devraient faire l’objet d’une harmonisation</w:t>
      </w:r>
      <w:r w:rsidR="000F7AA1" w:rsidRPr="00F265AB">
        <w:rPr>
          <w:w w:val="115"/>
          <w:sz w:val="19"/>
          <w:lang w:val="fr-FR"/>
        </w:rPr>
        <w:t>.</w:t>
      </w:r>
    </w:p>
    <w:p w14:paraId="6E4194ED" w14:textId="77777777" w:rsidR="00935A83" w:rsidRPr="00F265AB" w:rsidRDefault="00935A83">
      <w:pPr>
        <w:pStyle w:val="Corpsdetexte"/>
        <w:spacing w:before="79"/>
        <w:rPr>
          <w:lang w:val="fr-FR"/>
        </w:rPr>
      </w:pPr>
    </w:p>
    <w:p w14:paraId="64FB42AE" w14:textId="177EC324" w:rsidR="00935A83" w:rsidRPr="00F265AB" w:rsidRDefault="000F7AA1">
      <w:pPr>
        <w:pStyle w:val="Paragraphedeliste"/>
        <w:numPr>
          <w:ilvl w:val="1"/>
          <w:numId w:val="3"/>
        </w:numPr>
        <w:tabs>
          <w:tab w:val="left" w:pos="884"/>
          <w:tab w:val="left" w:pos="886"/>
        </w:tabs>
        <w:spacing w:before="1" w:line="314" w:lineRule="auto"/>
        <w:ind w:left="886" w:right="168"/>
        <w:rPr>
          <w:lang w:val="fr-FR"/>
        </w:rPr>
      </w:pPr>
      <w:r w:rsidRPr="00F265AB">
        <w:rPr>
          <w:w w:val="115"/>
          <w:sz w:val="19"/>
          <w:lang w:val="fr-FR"/>
        </w:rPr>
        <w:t>La réglementation et la pratique juridique en matière d'épuisement des droits liés aux marques doivent garantir un équilibre entre les intérêts légitimes des titulaires de marques et les principes d'</w:t>
      </w:r>
      <w:r w:rsidR="00BE02D5">
        <w:rPr>
          <w:w w:val="115"/>
          <w:sz w:val="19"/>
          <w:lang w:val="fr-FR"/>
        </w:rPr>
        <w:t>entrée sur le</w:t>
      </w:r>
      <w:r w:rsidRPr="00F265AB">
        <w:rPr>
          <w:w w:val="115"/>
          <w:sz w:val="19"/>
          <w:lang w:val="fr-FR"/>
        </w:rPr>
        <w:t xml:space="preserve"> marché et de protection des consommateurs.</w:t>
      </w:r>
    </w:p>
    <w:p w14:paraId="1639ED59" w14:textId="77777777" w:rsidR="00935A83" w:rsidRPr="00F265AB" w:rsidRDefault="00935A83">
      <w:pPr>
        <w:pStyle w:val="Corpsdetexte"/>
        <w:spacing w:before="73"/>
        <w:rPr>
          <w:lang w:val="fr-FR"/>
        </w:rPr>
      </w:pPr>
    </w:p>
    <w:p w14:paraId="47532488" w14:textId="77E335D3" w:rsidR="00935A83" w:rsidRPr="00F265AB" w:rsidRDefault="000F7AA1">
      <w:pPr>
        <w:pStyle w:val="Paragraphedeliste"/>
        <w:numPr>
          <w:ilvl w:val="1"/>
          <w:numId w:val="3"/>
        </w:numPr>
        <w:tabs>
          <w:tab w:val="left" w:pos="884"/>
          <w:tab w:val="left" w:pos="886"/>
        </w:tabs>
        <w:spacing w:before="1" w:line="312" w:lineRule="auto"/>
        <w:ind w:left="886" w:right="152"/>
        <w:rPr>
          <w:lang w:val="fr-FR"/>
        </w:rPr>
      </w:pPr>
      <w:r w:rsidRPr="00F265AB">
        <w:rPr>
          <w:w w:val="115"/>
          <w:sz w:val="19"/>
          <w:lang w:val="fr-FR"/>
        </w:rPr>
        <w:t xml:space="preserve">Le transfert de propriété des marchandises </w:t>
      </w:r>
      <w:r w:rsidR="00BE02D5">
        <w:rPr>
          <w:w w:val="115"/>
          <w:sz w:val="19"/>
          <w:lang w:val="fr-FR"/>
        </w:rPr>
        <w:t xml:space="preserve">doit </w:t>
      </w:r>
      <w:r w:rsidRPr="00F265AB">
        <w:rPr>
          <w:w w:val="115"/>
          <w:sz w:val="19"/>
          <w:lang w:val="fr-FR"/>
        </w:rPr>
        <w:t>entraîne</w:t>
      </w:r>
      <w:r w:rsidR="00BE02D5">
        <w:rPr>
          <w:w w:val="115"/>
          <w:sz w:val="19"/>
          <w:lang w:val="fr-FR"/>
        </w:rPr>
        <w:t>r</w:t>
      </w:r>
      <w:r w:rsidRPr="00F265AB">
        <w:rPr>
          <w:w w:val="115"/>
          <w:sz w:val="19"/>
          <w:lang w:val="fr-FR"/>
        </w:rPr>
        <w:t xml:space="preserve"> l'épuisement des droits de marque sur le territoire concerné lorsque les marchandises sont mises sur le marché, </w:t>
      </w:r>
      <w:r w:rsidR="00BE02D5">
        <w:rPr>
          <w:w w:val="115"/>
          <w:sz w:val="19"/>
          <w:lang w:val="fr-FR"/>
        </w:rPr>
        <w:t xml:space="preserve">en ce inclus </w:t>
      </w:r>
      <w:r w:rsidRPr="00F265AB">
        <w:rPr>
          <w:w w:val="115"/>
          <w:sz w:val="19"/>
          <w:lang w:val="fr-FR"/>
        </w:rPr>
        <w:t xml:space="preserve">la première vente, sur ce territoire avec le consentement du titulaire de la marque. Ainsi, l'épuisement des droits de marque résulte de toute transaction </w:t>
      </w:r>
      <w:r w:rsidR="00BE02D5">
        <w:rPr>
          <w:w w:val="115"/>
          <w:sz w:val="19"/>
          <w:lang w:val="fr-FR"/>
        </w:rPr>
        <w:t xml:space="preserve">qui conduit au </w:t>
      </w:r>
      <w:r w:rsidRPr="00F265AB">
        <w:rPr>
          <w:w w:val="115"/>
          <w:sz w:val="19"/>
          <w:lang w:val="fr-FR"/>
        </w:rPr>
        <w:t>transfert de propriété des marchandises concernées.</w:t>
      </w:r>
    </w:p>
    <w:p w14:paraId="5BAD4DE5" w14:textId="77777777" w:rsidR="00935A83" w:rsidRPr="00F265AB" w:rsidRDefault="00935A83">
      <w:pPr>
        <w:pStyle w:val="Corpsdetexte"/>
        <w:spacing w:before="83"/>
        <w:rPr>
          <w:lang w:val="fr-FR"/>
        </w:rPr>
      </w:pPr>
    </w:p>
    <w:p w14:paraId="229237E3" w14:textId="44AD785F" w:rsidR="00935A83" w:rsidRPr="00F265AB" w:rsidRDefault="000F7AA1">
      <w:pPr>
        <w:pStyle w:val="Paragraphedeliste"/>
        <w:numPr>
          <w:ilvl w:val="1"/>
          <w:numId w:val="3"/>
        </w:numPr>
        <w:tabs>
          <w:tab w:val="left" w:pos="884"/>
          <w:tab w:val="left" w:pos="886"/>
        </w:tabs>
        <w:spacing w:line="314" w:lineRule="auto"/>
        <w:ind w:left="886" w:right="156"/>
        <w:rPr>
          <w:lang w:val="fr-FR"/>
        </w:rPr>
      </w:pPr>
      <w:r w:rsidRPr="00F265AB">
        <w:rPr>
          <w:w w:val="115"/>
          <w:sz w:val="19"/>
          <w:lang w:val="fr-FR"/>
        </w:rPr>
        <w:t xml:space="preserve">L'épuisement </w:t>
      </w:r>
      <w:r w:rsidR="00BE02D5">
        <w:rPr>
          <w:w w:val="115"/>
          <w:sz w:val="19"/>
          <w:lang w:val="fr-FR"/>
        </w:rPr>
        <w:t xml:space="preserve">doit </w:t>
      </w:r>
      <w:r w:rsidRPr="00F265AB">
        <w:rPr>
          <w:w w:val="115"/>
          <w:sz w:val="19"/>
          <w:lang w:val="fr-FR"/>
        </w:rPr>
        <w:t>interv</w:t>
      </w:r>
      <w:r w:rsidR="00BE02D5">
        <w:rPr>
          <w:w w:val="115"/>
          <w:sz w:val="19"/>
          <w:lang w:val="fr-FR"/>
        </w:rPr>
        <w:t>enir</w:t>
      </w:r>
      <w:r w:rsidRPr="00F265AB">
        <w:rPr>
          <w:w w:val="115"/>
          <w:sz w:val="19"/>
          <w:lang w:val="fr-FR"/>
        </w:rPr>
        <w:t xml:space="preserve"> lorsque le titulaire de la marque a autorisé la mise sur le marché des produits, </w:t>
      </w:r>
      <w:r w:rsidR="00BE02D5">
        <w:rPr>
          <w:w w:val="115"/>
          <w:sz w:val="19"/>
          <w:lang w:val="fr-FR"/>
        </w:rPr>
        <w:t xml:space="preserve">en ce inclus </w:t>
      </w:r>
      <w:r w:rsidRPr="00F265AB">
        <w:rPr>
          <w:w w:val="115"/>
          <w:sz w:val="19"/>
          <w:lang w:val="fr-FR"/>
        </w:rPr>
        <w:t>la première vente, sous réserve des conditions suivantes :</w:t>
      </w:r>
    </w:p>
    <w:p w14:paraId="5E76D64E" w14:textId="77777777" w:rsidR="00935A83" w:rsidRPr="00F265AB" w:rsidRDefault="000F7AA1">
      <w:pPr>
        <w:pStyle w:val="Paragraphedeliste"/>
        <w:numPr>
          <w:ilvl w:val="2"/>
          <w:numId w:val="3"/>
        </w:numPr>
        <w:tabs>
          <w:tab w:val="left" w:pos="1607"/>
        </w:tabs>
        <w:spacing w:line="314" w:lineRule="auto"/>
        <w:ind w:right="153"/>
        <w:rPr>
          <w:lang w:val="fr-FR"/>
        </w:rPr>
      </w:pPr>
      <w:r w:rsidRPr="00F265AB">
        <w:rPr>
          <w:w w:val="115"/>
          <w:sz w:val="19"/>
          <w:lang w:val="fr-FR"/>
        </w:rPr>
        <w:t>les produits doivent être mis sur le marché dans le territoire concerné soit par le titulaire de la marque, soit avec son consentement, explicite ou implicite ;</w:t>
      </w:r>
    </w:p>
    <w:p w14:paraId="10085C2F" w14:textId="4DEF9E51" w:rsidR="00935A83" w:rsidRPr="00F265AB" w:rsidRDefault="000F7AA1">
      <w:pPr>
        <w:pStyle w:val="Paragraphedeliste"/>
        <w:numPr>
          <w:ilvl w:val="2"/>
          <w:numId w:val="3"/>
        </w:numPr>
        <w:tabs>
          <w:tab w:val="left" w:pos="1607"/>
        </w:tabs>
        <w:spacing w:line="312" w:lineRule="auto"/>
        <w:ind w:right="159"/>
        <w:rPr>
          <w:lang w:val="fr-FR"/>
        </w:rPr>
      </w:pPr>
      <w:r w:rsidRPr="00F265AB">
        <w:rPr>
          <w:w w:val="115"/>
          <w:sz w:val="19"/>
          <w:lang w:val="fr-FR"/>
        </w:rPr>
        <w:t>bien que le consentement puisse être implicite, il ne peut être présumé</w:t>
      </w:r>
      <w:r w:rsidR="00BE02D5">
        <w:rPr>
          <w:w w:val="115"/>
          <w:sz w:val="19"/>
          <w:lang w:val="fr-FR"/>
        </w:rPr>
        <w:t> ;</w:t>
      </w:r>
      <w:r w:rsidRPr="00F265AB">
        <w:rPr>
          <w:w w:val="115"/>
          <w:sz w:val="19"/>
          <w:lang w:val="fr-FR"/>
        </w:rPr>
        <w:t xml:space="preserve"> par exemple le silence ne saurait être considéré comme suffisant pour établir le consentement ;</w:t>
      </w:r>
    </w:p>
    <w:p w14:paraId="2BC5357E" w14:textId="77777777" w:rsidR="00935A83" w:rsidRPr="00F265AB" w:rsidRDefault="000F7AA1">
      <w:pPr>
        <w:pStyle w:val="Paragraphedeliste"/>
        <w:numPr>
          <w:ilvl w:val="2"/>
          <w:numId w:val="3"/>
        </w:numPr>
        <w:tabs>
          <w:tab w:val="left" w:pos="1607"/>
        </w:tabs>
        <w:spacing w:line="312" w:lineRule="auto"/>
        <w:ind w:right="161"/>
        <w:rPr>
          <w:lang w:val="fr-FR"/>
        </w:rPr>
      </w:pPr>
      <w:r w:rsidRPr="00F265AB">
        <w:rPr>
          <w:w w:val="110"/>
          <w:sz w:val="19"/>
          <w:lang w:val="fr-FR"/>
        </w:rPr>
        <w:t xml:space="preserve">le consentement peut également être exprimé </w:t>
      </w:r>
      <w:r w:rsidRPr="00F265AB">
        <w:rPr>
          <w:i/>
          <w:w w:val="110"/>
          <w:sz w:val="19"/>
          <w:lang w:val="fr-FR"/>
        </w:rPr>
        <w:t>a posteriori</w:t>
      </w:r>
      <w:r w:rsidRPr="00F265AB">
        <w:rPr>
          <w:w w:val="110"/>
          <w:sz w:val="19"/>
          <w:lang w:val="fr-FR"/>
        </w:rPr>
        <w:t>, c'est-à-dire après la mise sur le marché des produits sur le territoire concerné.</w:t>
      </w:r>
    </w:p>
    <w:p w14:paraId="47A1E203" w14:textId="77777777" w:rsidR="00935A83" w:rsidRPr="00F265AB" w:rsidRDefault="00935A83">
      <w:pPr>
        <w:pStyle w:val="Corpsdetexte"/>
        <w:spacing w:before="76"/>
        <w:rPr>
          <w:lang w:val="fr-FR"/>
        </w:rPr>
      </w:pPr>
    </w:p>
    <w:p w14:paraId="2868729F" w14:textId="7C996B81" w:rsidR="00935A83" w:rsidRPr="00F265AB" w:rsidRDefault="000F7AA1">
      <w:pPr>
        <w:pStyle w:val="Paragraphedeliste"/>
        <w:numPr>
          <w:ilvl w:val="1"/>
          <w:numId w:val="3"/>
        </w:numPr>
        <w:tabs>
          <w:tab w:val="left" w:pos="884"/>
          <w:tab w:val="left" w:pos="886"/>
        </w:tabs>
        <w:spacing w:before="1" w:line="312" w:lineRule="auto"/>
        <w:ind w:left="886" w:right="163"/>
        <w:rPr>
          <w:lang w:val="fr-FR"/>
        </w:rPr>
      </w:pPr>
      <w:r w:rsidRPr="00F265AB">
        <w:rPr>
          <w:w w:val="115"/>
          <w:sz w:val="19"/>
          <w:lang w:val="fr-FR"/>
        </w:rPr>
        <w:t>Les accords contractuels ou les pratiques visant à exclure ou à limiter l'épuisement des droits conférés par la marque ne d</w:t>
      </w:r>
      <w:r w:rsidR="00BE02D5">
        <w:rPr>
          <w:w w:val="115"/>
          <w:sz w:val="19"/>
          <w:lang w:val="fr-FR"/>
        </w:rPr>
        <w:t>evraient</w:t>
      </w:r>
      <w:r w:rsidRPr="00F265AB">
        <w:rPr>
          <w:w w:val="115"/>
          <w:sz w:val="19"/>
          <w:lang w:val="fr-FR"/>
        </w:rPr>
        <w:t xml:space="preserve"> pas prévaloir sur le principe de l'épuisement.</w:t>
      </w:r>
    </w:p>
    <w:p w14:paraId="4A01F5F5" w14:textId="77777777" w:rsidR="00935A83" w:rsidRPr="00F265AB" w:rsidRDefault="00935A83">
      <w:pPr>
        <w:pStyle w:val="Corpsdetexte"/>
        <w:spacing w:before="79"/>
        <w:rPr>
          <w:lang w:val="fr-FR"/>
        </w:rPr>
      </w:pPr>
    </w:p>
    <w:p w14:paraId="39316119" w14:textId="795BC3AD" w:rsidR="0045522B" w:rsidRPr="0045522B" w:rsidRDefault="000F7AA1" w:rsidP="0045522B">
      <w:pPr>
        <w:pStyle w:val="Paragraphedeliste"/>
        <w:numPr>
          <w:ilvl w:val="1"/>
          <w:numId w:val="3"/>
        </w:numPr>
        <w:tabs>
          <w:tab w:val="left" w:pos="884"/>
          <w:tab w:val="left" w:pos="886"/>
        </w:tabs>
        <w:spacing w:line="314" w:lineRule="auto"/>
        <w:ind w:left="886" w:right="151"/>
        <w:rPr>
          <w:lang w:val="fr-FR"/>
        </w:rPr>
      </w:pPr>
      <w:r w:rsidRPr="00F265AB">
        <w:rPr>
          <w:w w:val="115"/>
          <w:sz w:val="19"/>
          <w:lang w:val="fr-FR"/>
        </w:rPr>
        <w:t xml:space="preserve">Les raisons suivantes </w:t>
      </w:r>
      <w:r w:rsidR="00C57D76">
        <w:rPr>
          <w:w w:val="115"/>
          <w:sz w:val="19"/>
          <w:lang w:val="fr-FR"/>
        </w:rPr>
        <w:t>doivent</w:t>
      </w:r>
      <w:r w:rsidRPr="00F265AB">
        <w:rPr>
          <w:w w:val="115"/>
          <w:sz w:val="19"/>
          <w:lang w:val="fr-FR"/>
        </w:rPr>
        <w:t xml:space="preserve"> chacune </w:t>
      </w:r>
      <w:r w:rsidR="00C57D76">
        <w:rPr>
          <w:w w:val="115"/>
          <w:sz w:val="19"/>
          <w:lang w:val="fr-FR"/>
        </w:rPr>
        <w:t xml:space="preserve">être </w:t>
      </w:r>
      <w:r w:rsidRPr="00F265AB">
        <w:rPr>
          <w:w w:val="115"/>
          <w:sz w:val="19"/>
          <w:lang w:val="fr-FR"/>
        </w:rPr>
        <w:t>considérées comme une raison légitime d'interdire l'utilisation d'une marque en relation avec des produits qui seraient autrement soumis à l'épuisement des droits de marque :</w:t>
      </w:r>
    </w:p>
    <w:p w14:paraId="09FFE643" w14:textId="77777777" w:rsidR="0045522B" w:rsidRPr="0045522B" w:rsidRDefault="0045522B" w:rsidP="0045522B">
      <w:pPr>
        <w:pStyle w:val="Paragraphedeliste"/>
        <w:tabs>
          <w:tab w:val="left" w:pos="884"/>
          <w:tab w:val="left" w:pos="886"/>
        </w:tabs>
        <w:spacing w:line="314" w:lineRule="auto"/>
        <w:ind w:left="886" w:right="151" w:firstLine="0"/>
        <w:rPr>
          <w:sz w:val="14"/>
          <w:szCs w:val="14"/>
          <w:lang w:val="fr-FR"/>
        </w:rPr>
      </w:pPr>
    </w:p>
    <w:p w14:paraId="14CDA969" w14:textId="5ACBE78A" w:rsidR="0045522B" w:rsidRPr="0045522B" w:rsidRDefault="0045522B" w:rsidP="0045522B">
      <w:pPr>
        <w:pStyle w:val="Paragraphedeliste"/>
        <w:numPr>
          <w:ilvl w:val="0"/>
          <w:numId w:val="4"/>
        </w:numPr>
        <w:ind w:left="1560"/>
        <w:rPr>
          <w:w w:val="115"/>
          <w:sz w:val="19"/>
          <w:lang w:val="fr-FR"/>
        </w:rPr>
      </w:pPr>
      <w:r w:rsidRPr="0045522B">
        <w:rPr>
          <w:w w:val="115"/>
          <w:sz w:val="19"/>
          <w:lang w:val="fr-FR"/>
        </w:rPr>
        <w:t xml:space="preserve">altération ou détérioration des produits ; </w:t>
      </w:r>
    </w:p>
    <w:p w14:paraId="6C34E084" w14:textId="77777777" w:rsidR="0045522B" w:rsidRPr="0045522B" w:rsidRDefault="0045522B" w:rsidP="0045522B">
      <w:pPr>
        <w:pStyle w:val="Paragraphedeliste"/>
        <w:numPr>
          <w:ilvl w:val="0"/>
          <w:numId w:val="4"/>
        </w:numPr>
        <w:ind w:left="1560"/>
        <w:rPr>
          <w:w w:val="115"/>
          <w:sz w:val="19"/>
          <w:lang w:val="fr-FR"/>
        </w:rPr>
      </w:pPr>
      <w:r w:rsidRPr="0045522B">
        <w:rPr>
          <w:w w:val="115"/>
          <w:sz w:val="19"/>
          <w:lang w:val="fr-FR"/>
        </w:rPr>
        <w:t xml:space="preserve">atteinte à la réputation de la marque ; </w:t>
      </w:r>
    </w:p>
    <w:p w14:paraId="2FDA420D" w14:textId="77777777" w:rsidR="0045522B" w:rsidRPr="0045522B" w:rsidRDefault="000C2092" w:rsidP="0045522B">
      <w:pPr>
        <w:pStyle w:val="Paragraphedeliste"/>
        <w:numPr>
          <w:ilvl w:val="0"/>
          <w:numId w:val="4"/>
        </w:numPr>
        <w:ind w:left="1560"/>
        <w:rPr>
          <w:w w:val="115"/>
          <w:sz w:val="19"/>
          <w:lang w:val="fr-FR"/>
        </w:rPr>
      </w:pPr>
      <w:r w:rsidRPr="0045522B">
        <w:rPr>
          <w:w w:val="115"/>
          <w:sz w:val="19"/>
          <w:lang w:val="fr-FR"/>
        </w:rPr>
        <w:t>risque de confusion chez le consommateur ;</w:t>
      </w:r>
    </w:p>
    <w:p w14:paraId="01BC61A3" w14:textId="77777777" w:rsidR="0045522B" w:rsidRPr="0045522B" w:rsidRDefault="0045522B" w:rsidP="0045522B">
      <w:pPr>
        <w:pStyle w:val="Paragraphedeliste"/>
        <w:numPr>
          <w:ilvl w:val="0"/>
          <w:numId w:val="4"/>
        </w:numPr>
        <w:ind w:left="1560"/>
        <w:rPr>
          <w:w w:val="115"/>
          <w:sz w:val="19"/>
          <w:lang w:val="fr-FR"/>
        </w:rPr>
      </w:pPr>
      <w:r w:rsidRPr="0045522B">
        <w:rPr>
          <w:w w:val="115"/>
          <w:sz w:val="19"/>
          <w:lang w:val="fr-FR"/>
        </w:rPr>
        <w:t>pratiques commerciales trompeuses ;</w:t>
      </w:r>
    </w:p>
    <w:p w14:paraId="1FCFD8B0" w14:textId="77777777" w:rsidR="0045522B" w:rsidRPr="0045522B" w:rsidRDefault="0045522B" w:rsidP="0045522B">
      <w:pPr>
        <w:pStyle w:val="Paragraphedeliste"/>
        <w:numPr>
          <w:ilvl w:val="0"/>
          <w:numId w:val="4"/>
        </w:numPr>
        <w:ind w:left="1560"/>
        <w:rPr>
          <w:w w:val="115"/>
          <w:sz w:val="19"/>
          <w:lang w:val="fr-FR"/>
        </w:rPr>
      </w:pPr>
      <w:r w:rsidRPr="0045522B">
        <w:rPr>
          <w:w w:val="115"/>
          <w:sz w:val="19"/>
          <w:lang w:val="fr-FR"/>
        </w:rPr>
        <w:t xml:space="preserve">reconditionnement sans préavis ; </w:t>
      </w:r>
    </w:p>
    <w:p w14:paraId="01401ABB" w14:textId="39FFA7A9" w:rsidR="0045522B" w:rsidRPr="0045522B" w:rsidRDefault="0045522B" w:rsidP="0045522B">
      <w:pPr>
        <w:pStyle w:val="Paragraphedeliste"/>
        <w:numPr>
          <w:ilvl w:val="0"/>
          <w:numId w:val="4"/>
        </w:numPr>
        <w:ind w:left="1560"/>
        <w:rPr>
          <w:w w:val="115"/>
          <w:sz w:val="19"/>
          <w:lang w:val="fr-FR"/>
        </w:rPr>
      </w:pPr>
      <w:r w:rsidRPr="0045522B">
        <w:rPr>
          <w:w w:val="115"/>
          <w:sz w:val="19"/>
          <w:lang w:val="fr-FR"/>
        </w:rPr>
        <w:t>défaut des produits ;</w:t>
      </w:r>
    </w:p>
    <w:p w14:paraId="2E5CCC51" w14:textId="77777777" w:rsidR="0045522B" w:rsidRPr="0045522B" w:rsidRDefault="0045522B" w:rsidP="0045522B">
      <w:pPr>
        <w:rPr>
          <w:sz w:val="20"/>
          <w:szCs w:val="20"/>
          <w:lang w:val="fr-FR"/>
        </w:rPr>
      </w:pPr>
    </w:p>
    <w:p w14:paraId="759663B7" w14:textId="77777777" w:rsidR="0045522B" w:rsidRDefault="0045522B" w:rsidP="0045522B">
      <w:pPr>
        <w:pStyle w:val="Corpsdetexte"/>
        <w:spacing w:line="336" w:lineRule="auto"/>
        <w:ind w:left="876" w:right="169"/>
        <w:rPr>
          <w:w w:val="110"/>
          <w:sz w:val="19"/>
          <w:lang w:val="fr-FR"/>
        </w:rPr>
      </w:pPr>
    </w:p>
    <w:p w14:paraId="4874AB11" w14:textId="77777777" w:rsidR="0045522B" w:rsidRDefault="0045522B" w:rsidP="0045522B">
      <w:pPr>
        <w:pStyle w:val="Corpsdetexte"/>
        <w:spacing w:line="336" w:lineRule="auto"/>
        <w:ind w:left="876" w:right="169"/>
        <w:rPr>
          <w:w w:val="110"/>
          <w:sz w:val="19"/>
          <w:lang w:val="fr-FR"/>
        </w:rPr>
      </w:pPr>
    </w:p>
    <w:p w14:paraId="4C18AB72" w14:textId="50E17D72" w:rsidR="00935A83" w:rsidRPr="00F265AB" w:rsidRDefault="000F7AA1" w:rsidP="0045522B">
      <w:pPr>
        <w:pStyle w:val="Corpsdetexte"/>
        <w:spacing w:line="336" w:lineRule="auto"/>
        <w:ind w:left="876" w:right="169"/>
        <w:jc w:val="both"/>
        <w:rPr>
          <w:lang w:val="fr-FR"/>
        </w:rPr>
      </w:pPr>
      <w:r w:rsidRPr="00F265AB">
        <w:rPr>
          <w:w w:val="110"/>
          <w:sz w:val="19"/>
          <w:lang w:val="fr-FR"/>
        </w:rPr>
        <w:t xml:space="preserve">Dans l'un des cas susmentionnés, et à condition que la fonction de la marque soit compromise, le titulaire de la marque peut notamment avoir le droit de s'opposer à la remise à neuf, au démontage, au remplissage, au </w:t>
      </w:r>
      <w:proofErr w:type="spellStart"/>
      <w:r w:rsidRPr="00F265AB">
        <w:rPr>
          <w:w w:val="110"/>
          <w:sz w:val="19"/>
          <w:lang w:val="fr-FR"/>
        </w:rPr>
        <w:t>débranding</w:t>
      </w:r>
      <w:proofErr w:type="spellEnd"/>
      <w:r w:rsidRPr="00F265AB">
        <w:rPr>
          <w:w w:val="110"/>
          <w:sz w:val="19"/>
          <w:lang w:val="fr-FR"/>
        </w:rPr>
        <w:t>, au rebranding, au co-branding et à la revente ultérieure de produits de marque qui seraient autrement soumis à l'épuisement du droit de marque.</w:t>
      </w:r>
    </w:p>
    <w:p w14:paraId="69760F4D" w14:textId="77777777" w:rsidR="00935A83" w:rsidRPr="00F265AB" w:rsidRDefault="00935A83">
      <w:pPr>
        <w:pStyle w:val="Corpsdetexte"/>
        <w:spacing w:before="72"/>
        <w:rPr>
          <w:lang w:val="fr-FR"/>
        </w:rPr>
      </w:pPr>
    </w:p>
    <w:p w14:paraId="7135E379" w14:textId="2E8A313D" w:rsidR="00935A83" w:rsidRPr="00F265AB" w:rsidRDefault="000F7AA1">
      <w:pPr>
        <w:pStyle w:val="Paragraphedeliste"/>
        <w:numPr>
          <w:ilvl w:val="1"/>
          <w:numId w:val="3"/>
        </w:numPr>
        <w:tabs>
          <w:tab w:val="left" w:pos="884"/>
          <w:tab w:val="left" w:pos="886"/>
        </w:tabs>
        <w:spacing w:line="314" w:lineRule="auto"/>
        <w:ind w:left="886" w:right="154"/>
        <w:rPr>
          <w:lang w:val="fr-FR"/>
        </w:rPr>
      </w:pPr>
      <w:r w:rsidRPr="00F265AB">
        <w:rPr>
          <w:w w:val="115"/>
          <w:sz w:val="19"/>
          <w:lang w:val="fr-FR"/>
        </w:rPr>
        <w:t xml:space="preserve">La partie qui invoque l'épuisement du droit de marque doit </w:t>
      </w:r>
      <w:r w:rsidR="00C57D76">
        <w:rPr>
          <w:w w:val="115"/>
          <w:sz w:val="19"/>
          <w:lang w:val="fr-FR"/>
        </w:rPr>
        <w:t xml:space="preserve">en </w:t>
      </w:r>
      <w:r w:rsidRPr="00F265AB">
        <w:rPr>
          <w:w w:val="115"/>
          <w:sz w:val="19"/>
          <w:lang w:val="fr-FR"/>
        </w:rPr>
        <w:t xml:space="preserve">supporter la charge de la preuve. Toutefois, la charge de la preuve peut être renversée dans des circonstances particulières, par exemple lorsque les preuves sont principalement sous le contrôle du titulaire de la marque ou lorsque le risque de cloisonnement du marché est </w:t>
      </w:r>
      <w:r w:rsidR="00C57D76">
        <w:rPr>
          <w:w w:val="115"/>
          <w:sz w:val="19"/>
          <w:lang w:val="fr-FR"/>
        </w:rPr>
        <w:t>substantiel</w:t>
      </w:r>
      <w:r w:rsidRPr="00F265AB">
        <w:rPr>
          <w:w w:val="115"/>
          <w:sz w:val="19"/>
          <w:lang w:val="fr-FR"/>
        </w:rPr>
        <w:t>.</w:t>
      </w:r>
    </w:p>
    <w:p w14:paraId="3B648561" w14:textId="77777777" w:rsidR="00935A83" w:rsidRPr="00F265AB" w:rsidRDefault="00935A83">
      <w:pPr>
        <w:pStyle w:val="Corpsdetexte"/>
        <w:spacing w:before="72"/>
        <w:rPr>
          <w:lang w:val="fr-FR"/>
        </w:rPr>
      </w:pPr>
    </w:p>
    <w:p w14:paraId="1A5DADC9" w14:textId="1EE4F6EC" w:rsidR="00935A83" w:rsidRPr="00F265AB" w:rsidRDefault="000F7AA1">
      <w:pPr>
        <w:pStyle w:val="Paragraphedeliste"/>
        <w:numPr>
          <w:ilvl w:val="1"/>
          <w:numId w:val="3"/>
        </w:numPr>
        <w:tabs>
          <w:tab w:val="left" w:pos="884"/>
          <w:tab w:val="left" w:pos="886"/>
        </w:tabs>
        <w:spacing w:line="312" w:lineRule="auto"/>
        <w:ind w:left="886" w:right="162"/>
        <w:rPr>
          <w:lang w:val="fr-FR"/>
        </w:rPr>
      </w:pPr>
      <w:r w:rsidRPr="00F265AB">
        <w:rPr>
          <w:w w:val="115"/>
          <w:sz w:val="19"/>
          <w:lang w:val="fr-FR"/>
        </w:rPr>
        <w:t xml:space="preserve">Les considérations </w:t>
      </w:r>
      <w:r w:rsidR="00C57D76">
        <w:rPr>
          <w:w w:val="115"/>
          <w:sz w:val="19"/>
          <w:lang w:val="fr-FR"/>
        </w:rPr>
        <w:t xml:space="preserve">liées à la </w:t>
      </w:r>
      <w:r w:rsidRPr="00F265AB">
        <w:rPr>
          <w:w w:val="115"/>
          <w:sz w:val="19"/>
          <w:lang w:val="fr-FR"/>
        </w:rPr>
        <w:t xml:space="preserve">durabilité ne devraient en principe pas prévaloir sur </w:t>
      </w:r>
      <w:r w:rsidRPr="00F265AB">
        <w:rPr>
          <w:spacing w:val="-2"/>
          <w:w w:val="115"/>
          <w:sz w:val="19"/>
          <w:lang w:val="fr-FR"/>
        </w:rPr>
        <w:t>les droits</w:t>
      </w:r>
      <w:r w:rsidRPr="00F265AB">
        <w:rPr>
          <w:w w:val="115"/>
          <w:sz w:val="19"/>
          <w:lang w:val="fr-FR"/>
        </w:rPr>
        <w:t xml:space="preserve"> de marque</w:t>
      </w:r>
      <w:r w:rsidRPr="00F265AB">
        <w:rPr>
          <w:spacing w:val="-2"/>
          <w:w w:val="115"/>
          <w:sz w:val="19"/>
          <w:lang w:val="fr-FR"/>
        </w:rPr>
        <w:t>.</w:t>
      </w:r>
    </w:p>
    <w:p w14:paraId="16E0BFCE" w14:textId="77777777" w:rsidR="00935A83" w:rsidRPr="00F265AB" w:rsidRDefault="00935A83">
      <w:pPr>
        <w:pStyle w:val="Corpsdetexte"/>
        <w:spacing w:before="80"/>
        <w:rPr>
          <w:lang w:val="fr-FR"/>
        </w:rPr>
      </w:pPr>
    </w:p>
    <w:p w14:paraId="472AF5C3" w14:textId="6CD24FF3" w:rsidR="00935A83" w:rsidRPr="00F265AB" w:rsidRDefault="000F7AA1">
      <w:pPr>
        <w:pStyle w:val="Paragraphedeliste"/>
        <w:numPr>
          <w:ilvl w:val="1"/>
          <w:numId w:val="3"/>
        </w:numPr>
        <w:tabs>
          <w:tab w:val="left" w:pos="884"/>
          <w:tab w:val="left" w:pos="886"/>
        </w:tabs>
        <w:spacing w:line="314" w:lineRule="auto"/>
        <w:ind w:left="886" w:right="155"/>
        <w:rPr>
          <w:lang w:val="fr-FR"/>
        </w:rPr>
      </w:pPr>
      <w:r w:rsidRPr="00F265AB">
        <w:rPr>
          <w:w w:val="115"/>
          <w:sz w:val="19"/>
          <w:lang w:val="fr-FR"/>
        </w:rPr>
        <w:t xml:space="preserve">Une fois que la propriété d'un produit </w:t>
      </w:r>
      <w:r w:rsidR="00C57D76">
        <w:rPr>
          <w:w w:val="115"/>
          <w:sz w:val="19"/>
          <w:lang w:val="fr-FR"/>
        </w:rPr>
        <w:t xml:space="preserve">marqué </w:t>
      </w:r>
      <w:r w:rsidRPr="00F265AB">
        <w:rPr>
          <w:w w:val="115"/>
          <w:sz w:val="19"/>
          <w:lang w:val="fr-FR"/>
        </w:rPr>
        <w:t>a été transférée et que les droits de marque ont été épuisés, les c</w:t>
      </w:r>
      <w:r w:rsidR="00C57D76">
        <w:rPr>
          <w:w w:val="115"/>
          <w:sz w:val="19"/>
          <w:lang w:val="fr-FR"/>
        </w:rPr>
        <w:t>onsommateurs</w:t>
      </w:r>
      <w:r w:rsidRPr="00F265AB">
        <w:rPr>
          <w:w w:val="115"/>
          <w:sz w:val="19"/>
          <w:lang w:val="fr-FR"/>
        </w:rPr>
        <w:t xml:space="preserve"> devraient rester libres de demander à un tiers la modification de leur propre </w:t>
      </w:r>
      <w:r w:rsidR="00E15F7B">
        <w:rPr>
          <w:w w:val="115"/>
          <w:sz w:val="19"/>
          <w:lang w:val="fr-FR"/>
        </w:rPr>
        <w:t xml:space="preserve">bien </w:t>
      </w:r>
      <w:r w:rsidRPr="00F265AB">
        <w:rPr>
          <w:w w:val="115"/>
          <w:sz w:val="19"/>
          <w:lang w:val="fr-FR"/>
        </w:rPr>
        <w:t>pour des raisons écologiques et de durabilité, à condition qu'il n'y ait pas d</w:t>
      </w:r>
      <w:r w:rsidR="00E15F7B">
        <w:rPr>
          <w:w w:val="115"/>
          <w:sz w:val="19"/>
          <w:lang w:val="fr-FR"/>
        </w:rPr>
        <w:t xml:space="preserve">e nouvelle </w:t>
      </w:r>
      <w:r w:rsidRPr="00F265AB">
        <w:rPr>
          <w:w w:val="115"/>
          <w:sz w:val="19"/>
          <w:lang w:val="fr-FR"/>
        </w:rPr>
        <w:t xml:space="preserve">exploitation commerciale </w:t>
      </w:r>
      <w:r w:rsidR="00E15F7B">
        <w:rPr>
          <w:w w:val="115"/>
          <w:sz w:val="19"/>
          <w:lang w:val="fr-FR"/>
        </w:rPr>
        <w:t>de ce bien</w:t>
      </w:r>
      <w:r w:rsidRPr="00F265AB">
        <w:rPr>
          <w:w w:val="115"/>
          <w:sz w:val="19"/>
          <w:lang w:val="fr-FR"/>
        </w:rPr>
        <w:t>.</w:t>
      </w:r>
    </w:p>
    <w:p w14:paraId="56230EF5" w14:textId="77777777" w:rsidR="00935A83" w:rsidRPr="00F265AB" w:rsidRDefault="00935A83">
      <w:pPr>
        <w:pStyle w:val="Corpsdetexte"/>
        <w:spacing w:before="71"/>
        <w:rPr>
          <w:lang w:val="fr-FR"/>
        </w:rPr>
      </w:pPr>
    </w:p>
    <w:p w14:paraId="65DA9930" w14:textId="3B80AC31" w:rsidR="0045522B" w:rsidRPr="0045522B" w:rsidRDefault="000F7AA1" w:rsidP="0045522B">
      <w:pPr>
        <w:pStyle w:val="Paragraphedeliste"/>
        <w:numPr>
          <w:ilvl w:val="1"/>
          <w:numId w:val="3"/>
        </w:numPr>
        <w:tabs>
          <w:tab w:val="left" w:pos="884"/>
          <w:tab w:val="left" w:pos="886"/>
        </w:tabs>
        <w:spacing w:line="314" w:lineRule="auto"/>
        <w:ind w:left="886" w:right="156"/>
        <w:rPr>
          <w:lang w:val="fr-FR"/>
        </w:rPr>
      </w:pPr>
      <w:r w:rsidRPr="00F265AB">
        <w:rPr>
          <w:w w:val="115"/>
          <w:sz w:val="19"/>
          <w:lang w:val="fr-FR"/>
        </w:rPr>
        <w:t xml:space="preserve">En principe, les modèles commerciaux impliquant la commercialisation de </w:t>
      </w:r>
      <w:r w:rsidRPr="00F265AB">
        <w:rPr>
          <w:w w:val="110"/>
          <w:sz w:val="19"/>
          <w:lang w:val="fr-FR"/>
        </w:rPr>
        <w:t xml:space="preserve">produits </w:t>
      </w:r>
      <w:r w:rsidR="00E15F7B">
        <w:rPr>
          <w:w w:val="110"/>
          <w:sz w:val="19"/>
          <w:lang w:val="fr-FR"/>
        </w:rPr>
        <w:t xml:space="preserve">marqués </w:t>
      </w:r>
      <w:r w:rsidRPr="00F265AB">
        <w:rPr>
          <w:w w:val="115"/>
          <w:sz w:val="19"/>
          <w:lang w:val="fr-FR"/>
        </w:rPr>
        <w:t xml:space="preserve">modifiés </w:t>
      </w:r>
      <w:r w:rsidRPr="00F265AB">
        <w:rPr>
          <w:w w:val="110"/>
          <w:sz w:val="19"/>
          <w:lang w:val="fr-FR"/>
        </w:rPr>
        <w:t xml:space="preserve">ne devraient pas être autorisés. Toutefois, dans certaines </w:t>
      </w:r>
      <w:r w:rsidRPr="00F265AB">
        <w:rPr>
          <w:w w:val="115"/>
          <w:sz w:val="19"/>
          <w:lang w:val="fr-FR"/>
        </w:rPr>
        <w:t>circonstances</w:t>
      </w:r>
      <w:r w:rsidRPr="00F265AB">
        <w:rPr>
          <w:w w:val="110"/>
          <w:sz w:val="19"/>
          <w:lang w:val="fr-FR"/>
        </w:rPr>
        <w:t xml:space="preserve"> exceptionnelles</w:t>
      </w:r>
      <w:r w:rsidRPr="00F265AB">
        <w:rPr>
          <w:w w:val="115"/>
          <w:sz w:val="19"/>
          <w:lang w:val="fr-FR"/>
        </w:rPr>
        <w:t xml:space="preserve">, </w:t>
      </w:r>
      <w:r w:rsidR="00E15F7B">
        <w:rPr>
          <w:w w:val="115"/>
          <w:sz w:val="19"/>
          <w:lang w:val="fr-FR"/>
        </w:rPr>
        <w:t>certaines</w:t>
      </w:r>
      <w:r w:rsidRPr="00F265AB">
        <w:rPr>
          <w:w w:val="115"/>
          <w:sz w:val="19"/>
          <w:lang w:val="fr-FR"/>
        </w:rPr>
        <w:t xml:space="preserve"> modifications — y compris </w:t>
      </w:r>
      <w:r w:rsidR="00E15F7B">
        <w:rPr>
          <w:w w:val="115"/>
          <w:sz w:val="19"/>
          <w:lang w:val="fr-FR"/>
        </w:rPr>
        <w:t>d</w:t>
      </w:r>
      <w:r w:rsidRPr="00F265AB">
        <w:rPr>
          <w:w w:val="115"/>
          <w:sz w:val="19"/>
          <w:lang w:val="fr-FR"/>
        </w:rPr>
        <w:t>es pratiques telles que le recyclage ou l</w:t>
      </w:r>
      <w:r w:rsidR="00F265AB">
        <w:rPr>
          <w:w w:val="115"/>
          <w:sz w:val="19"/>
          <w:lang w:val="fr-FR"/>
        </w:rPr>
        <w:t>’</w:t>
      </w:r>
      <w:proofErr w:type="spellStart"/>
      <w:r w:rsidR="00F265AB">
        <w:rPr>
          <w:w w:val="115"/>
          <w:sz w:val="19"/>
          <w:lang w:val="fr-FR"/>
        </w:rPr>
        <w:t>upcycling</w:t>
      </w:r>
      <w:proofErr w:type="spellEnd"/>
      <w:r w:rsidR="00F265AB">
        <w:rPr>
          <w:w w:val="115"/>
          <w:sz w:val="19"/>
          <w:lang w:val="fr-FR"/>
        </w:rPr>
        <w:t xml:space="preserve"> </w:t>
      </w:r>
      <w:r w:rsidRPr="00F265AB">
        <w:rPr>
          <w:w w:val="115"/>
          <w:sz w:val="19"/>
          <w:lang w:val="fr-FR"/>
        </w:rPr>
        <w:t>— peuvent être autorisées lorsqu'elles sont effectuées pour des raisons de durabilité, à condition que les conditions suivantes (non exhaustives) soient remplies :</w:t>
      </w:r>
    </w:p>
    <w:p w14:paraId="23BB5C8F" w14:textId="77777777" w:rsidR="0045522B" w:rsidRPr="00F265AB" w:rsidRDefault="0045522B" w:rsidP="0045522B">
      <w:pPr>
        <w:pStyle w:val="Paragraphedeliste"/>
        <w:tabs>
          <w:tab w:val="left" w:pos="884"/>
          <w:tab w:val="left" w:pos="886"/>
        </w:tabs>
        <w:spacing w:line="314" w:lineRule="auto"/>
        <w:ind w:left="886" w:right="156" w:firstLine="0"/>
        <w:rPr>
          <w:lang w:val="fr-FR"/>
        </w:rPr>
      </w:pPr>
    </w:p>
    <w:p w14:paraId="2C8CF958" w14:textId="541B0CD6" w:rsidR="0045522B" w:rsidRPr="0045522B" w:rsidRDefault="000F7AA1" w:rsidP="0045522B">
      <w:pPr>
        <w:pStyle w:val="Paragraphedeliste"/>
        <w:numPr>
          <w:ilvl w:val="0"/>
          <w:numId w:val="5"/>
        </w:numPr>
        <w:tabs>
          <w:tab w:val="left" w:pos="1605"/>
          <w:tab w:val="left" w:pos="1607"/>
        </w:tabs>
        <w:spacing w:line="314" w:lineRule="auto"/>
        <w:ind w:left="1276" w:right="144"/>
        <w:rPr>
          <w:lang w:val="fr-FR"/>
        </w:rPr>
      </w:pPr>
      <w:r w:rsidRPr="0045522B">
        <w:rPr>
          <w:w w:val="115"/>
          <w:sz w:val="19"/>
          <w:lang w:val="fr-FR"/>
        </w:rPr>
        <w:t>il n'</w:t>
      </w:r>
      <w:r w:rsidR="00E15F7B" w:rsidRPr="0045522B">
        <w:rPr>
          <w:w w:val="115"/>
          <w:sz w:val="19"/>
          <w:lang w:val="fr-FR"/>
        </w:rPr>
        <w:t>existe</w:t>
      </w:r>
      <w:r w:rsidRPr="0045522B">
        <w:rPr>
          <w:w w:val="115"/>
          <w:sz w:val="19"/>
          <w:lang w:val="fr-FR"/>
        </w:rPr>
        <w:t xml:space="preserve"> aucun risque d'induire les consommateurs en erreur (y compris après la vente) quant à l'origine du produit modifié, </w:t>
      </w:r>
      <w:r w:rsidR="00E15F7B" w:rsidRPr="0045522B">
        <w:rPr>
          <w:w w:val="115"/>
          <w:sz w:val="19"/>
          <w:lang w:val="fr-FR"/>
        </w:rPr>
        <w:t>en ce y compris aucun</w:t>
      </w:r>
      <w:r w:rsidRPr="0045522B">
        <w:rPr>
          <w:w w:val="115"/>
          <w:sz w:val="19"/>
          <w:lang w:val="fr-FR"/>
        </w:rPr>
        <w:t xml:space="preserve"> risque de </w:t>
      </w:r>
      <w:r w:rsidR="00E15F7B" w:rsidRPr="0045522B">
        <w:rPr>
          <w:w w:val="115"/>
          <w:sz w:val="19"/>
          <w:lang w:val="fr-FR"/>
        </w:rPr>
        <w:t>présentation erronée de nature à faire croire</w:t>
      </w:r>
      <w:r w:rsidRPr="0045522B">
        <w:rPr>
          <w:w w:val="115"/>
          <w:sz w:val="19"/>
          <w:lang w:val="fr-FR"/>
        </w:rPr>
        <w:t xml:space="preserve"> que le produit modifié est associé au propriétaire de la marque déposée ou approuvé par celui-ci ;</w:t>
      </w:r>
    </w:p>
    <w:p w14:paraId="780CC90E" w14:textId="77777777" w:rsidR="0045522B" w:rsidRPr="0045522B" w:rsidRDefault="0045522B" w:rsidP="0045522B">
      <w:pPr>
        <w:pStyle w:val="Paragraphedeliste"/>
        <w:tabs>
          <w:tab w:val="left" w:pos="1605"/>
          <w:tab w:val="left" w:pos="1607"/>
        </w:tabs>
        <w:spacing w:line="314" w:lineRule="auto"/>
        <w:ind w:left="1276" w:right="144" w:firstLine="0"/>
        <w:rPr>
          <w:lang w:val="fr-FR"/>
        </w:rPr>
      </w:pPr>
    </w:p>
    <w:p w14:paraId="34EA2DDB" w14:textId="77777777" w:rsidR="009C2430" w:rsidRPr="009C2430" w:rsidRDefault="000F7AA1" w:rsidP="009C2430">
      <w:pPr>
        <w:pStyle w:val="Paragraphedeliste"/>
        <w:numPr>
          <w:ilvl w:val="0"/>
          <w:numId w:val="5"/>
        </w:numPr>
        <w:tabs>
          <w:tab w:val="left" w:pos="1605"/>
          <w:tab w:val="left" w:pos="1607"/>
        </w:tabs>
        <w:spacing w:line="314" w:lineRule="auto"/>
        <w:ind w:left="1276" w:right="144"/>
        <w:rPr>
          <w:lang w:val="fr-FR"/>
        </w:rPr>
      </w:pPr>
      <w:r w:rsidRPr="0045522B">
        <w:rPr>
          <w:w w:val="115"/>
          <w:sz w:val="19"/>
          <w:lang w:val="fr-FR"/>
        </w:rPr>
        <w:t xml:space="preserve">la modification </w:t>
      </w:r>
      <w:r w:rsidR="004D628E" w:rsidRPr="0045522B">
        <w:rPr>
          <w:w w:val="115"/>
          <w:sz w:val="19"/>
          <w:lang w:val="fr-FR"/>
        </w:rPr>
        <w:t xml:space="preserve">ne met en œuvre </w:t>
      </w:r>
      <w:r w:rsidRPr="0045522B">
        <w:rPr>
          <w:w w:val="115"/>
          <w:sz w:val="19"/>
          <w:lang w:val="fr-FR"/>
        </w:rPr>
        <w:t xml:space="preserve">aucune exploitation ou atteinte à l'image ou à la </w:t>
      </w:r>
      <w:r w:rsidRPr="0045522B">
        <w:rPr>
          <w:spacing w:val="-4"/>
          <w:w w:val="115"/>
          <w:sz w:val="19"/>
          <w:lang w:val="fr-FR"/>
        </w:rPr>
        <w:t>réputation de la marque</w:t>
      </w:r>
      <w:r w:rsidR="009C2430">
        <w:rPr>
          <w:spacing w:val="-2"/>
          <w:w w:val="115"/>
          <w:sz w:val="19"/>
          <w:lang w:val="fr-FR"/>
        </w:rPr>
        <w:t> ;</w:t>
      </w:r>
    </w:p>
    <w:p w14:paraId="16EDF7AA" w14:textId="77777777" w:rsidR="009C2430" w:rsidRPr="009C2430" w:rsidRDefault="009C2430" w:rsidP="009C2430">
      <w:pPr>
        <w:pStyle w:val="Paragraphedeliste"/>
        <w:rPr>
          <w:w w:val="115"/>
          <w:sz w:val="19"/>
          <w:lang w:val="fr-FR"/>
        </w:rPr>
      </w:pPr>
    </w:p>
    <w:p w14:paraId="1B627DFD" w14:textId="44D669F8" w:rsidR="009C2430" w:rsidRPr="009C2430" w:rsidRDefault="009C2430" w:rsidP="009C2430">
      <w:pPr>
        <w:pStyle w:val="Paragraphedeliste"/>
        <w:numPr>
          <w:ilvl w:val="0"/>
          <w:numId w:val="5"/>
        </w:numPr>
        <w:tabs>
          <w:tab w:val="left" w:pos="1605"/>
          <w:tab w:val="left" w:pos="1607"/>
        </w:tabs>
        <w:spacing w:line="314" w:lineRule="auto"/>
        <w:ind w:left="1276" w:right="144"/>
        <w:rPr>
          <w:lang w:val="fr-FR"/>
        </w:rPr>
        <w:sectPr w:rsidR="009C2430" w:rsidRPr="009C2430">
          <w:pgSz w:w="11910" w:h="16840"/>
          <w:pgMar w:top="2140" w:right="1275" w:bottom="1180" w:left="1275" w:header="710" w:footer="996" w:gutter="0"/>
          <w:cols w:space="708"/>
        </w:sectPr>
      </w:pPr>
      <w:r w:rsidRPr="009C2430">
        <w:rPr>
          <w:w w:val="115"/>
          <w:sz w:val="19"/>
          <w:lang w:val="fr-FR"/>
        </w:rPr>
        <w:t>tout acte commercial impliquant un produit modifié doit clairement informer le consommateur de cette modification, afin de garantir la transparence et de protéger les intérêts des consommateur</w:t>
      </w:r>
      <w:r>
        <w:rPr>
          <w:w w:val="115"/>
          <w:sz w:val="19"/>
          <w:lang w:val="fr-FR"/>
        </w:rPr>
        <w:t>s.</w:t>
      </w:r>
    </w:p>
    <w:p w14:paraId="1B4C784B" w14:textId="6CA6ECAB" w:rsidR="009C2430" w:rsidRPr="009C2430" w:rsidRDefault="009C2430" w:rsidP="009C2430">
      <w:pPr>
        <w:tabs>
          <w:tab w:val="left" w:pos="1275"/>
        </w:tabs>
        <w:rPr>
          <w:lang w:val="fr-FR"/>
        </w:rPr>
      </w:pPr>
    </w:p>
    <w:sectPr w:rsidR="009C2430" w:rsidRPr="009C2430">
      <w:pgSz w:w="11910" w:h="16840"/>
      <w:pgMar w:top="2140" w:right="1275" w:bottom="1180" w:left="1275" w:header="710" w:footer="99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87F16" w14:textId="77777777" w:rsidR="00D456E1" w:rsidRDefault="00D456E1">
      <w:r>
        <w:separator/>
      </w:r>
    </w:p>
  </w:endnote>
  <w:endnote w:type="continuationSeparator" w:id="0">
    <w:p w14:paraId="56776BD5" w14:textId="77777777" w:rsidR="00D456E1" w:rsidRDefault="00D45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08C4F" w14:textId="77777777" w:rsidR="00935A83" w:rsidRDefault="000F7AA1">
    <w:pPr>
      <w:pStyle w:val="Corpsdetexte"/>
      <w:spacing w:line="14" w:lineRule="auto"/>
      <w:rPr>
        <w:sz w:val="20"/>
      </w:rPr>
    </w:pPr>
    <w:r>
      <w:rPr>
        <w:noProof/>
        <w:sz w:val="20"/>
      </w:rPr>
      <mc:AlternateContent>
        <mc:Choice Requires="wps">
          <w:drawing>
            <wp:anchor distT="0" distB="0" distL="0" distR="0" simplePos="0" relativeHeight="251658752" behindDoc="1" locked="0" layoutInCell="1" allowOverlap="1" wp14:anchorId="4BBF317D" wp14:editId="00DA5B23">
              <wp:simplePos x="0" y="0"/>
              <wp:positionH relativeFrom="page">
                <wp:posOffset>6545833</wp:posOffset>
              </wp:positionH>
              <wp:positionV relativeFrom="page">
                <wp:posOffset>9921557</wp:posOffset>
              </wp:positionV>
              <wp:extent cx="160020" cy="165100"/>
              <wp:effectExtent l="0" t="0" r="0" b="0"/>
              <wp:wrapNone/>
              <wp:docPr id="3" name="Textbox 3"/>
              <wp:cNvGraphicFramePr/>
              <a:graphic xmlns:a="http://schemas.openxmlformats.org/drawingml/2006/main">
                <a:graphicData uri="http://schemas.microsoft.com/office/word/2010/wordprocessingShape">
                  <wps:wsp>
                    <wps:cNvSpPr txBox="1"/>
                    <wps:spPr>
                      <a:xfrm>
                        <a:off x="0" y="0"/>
                        <a:ext cx="160020" cy="165100"/>
                      </a:xfrm>
                      <a:prstGeom prst="rect">
                        <a:avLst/>
                      </a:prstGeom>
                    </wps:spPr>
                    <wps:txbx>
                      <w:txbxContent>
                        <w:p w14:paraId="38A16F0D" w14:textId="77777777" w:rsidR="00935A83" w:rsidRDefault="000F7AA1">
                          <w:pPr>
                            <w:pStyle w:val="Corpsdetexte"/>
                            <w:spacing w:line="244" w:lineRule="exact"/>
                            <w:ind w:left="60"/>
                            <w:rPr>
                              <w:rFonts w:ascii="Calibri"/>
                            </w:rPr>
                          </w:pPr>
                          <w:r>
                            <w:rPr>
                              <w:rFonts w:ascii="Calibri"/>
                              <w:spacing w:val="-10"/>
                            </w:rPr>
                            <w:fldChar w:fldCharType="begin"/>
                          </w:r>
                          <w:r>
                            <w:rPr>
                              <w:rFonts w:ascii="Calibri"/>
                              <w:spacing w:val="-10"/>
                              <w:sz w:val="19"/>
                            </w:rPr>
                            <w:instrText xml:space="preserve"> PAGE </w:instrText>
                          </w:r>
                          <w:r>
                            <w:rPr>
                              <w:rFonts w:ascii="Calibri"/>
                              <w:spacing w:val="-10"/>
                            </w:rPr>
                            <w:fldChar w:fldCharType="separate"/>
                          </w:r>
                          <w:r>
                            <w:rPr>
                              <w:rFonts w:ascii="Calibri"/>
                              <w:spacing w:val="-10"/>
                              <w:sz w:val="19"/>
                            </w:rPr>
                            <w:t>4</w:t>
                          </w:r>
                          <w:r>
                            <w:rPr>
                              <w:rFonts w:ascii="Calibri"/>
                              <w:spacing w:val="-10"/>
                            </w:rPr>
                            <w:fldChar w:fldCharType="end"/>
                          </w:r>
                        </w:p>
                      </w:txbxContent>
                    </wps:txbx>
                    <wps:bodyPr wrap="square" lIns="0" tIns="0" rIns="0" bIns="0" rtlCol="0"/>
                  </wps:wsp>
                </a:graphicData>
              </a:graphic>
            </wp:anchor>
          </w:drawing>
        </mc:Choice>
        <mc:Fallback>
          <w:pict>
            <v:shapetype w14:anchorId="4BBF317D" id="_x0000_t202" coordsize="21600,21600" o:spt="202" path="m,l,21600r21600,l21600,xe">
              <v:stroke joinstyle="miter"/>
              <v:path gradientshapeok="t" o:connecttype="rect"/>
            </v:shapetype>
            <v:shape id="Textbox 3" o:spid="_x0000_s1027" type="#_x0000_t202" style="position:absolute;margin-left:515.4pt;margin-top:781.2pt;width:12.6pt;height:13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" filled="f" stroked="f">
              <v:textbox inset="0,0,0,0">
                <w:txbxContent>
                  <w:p w14:paraId="38A16F0D" w14:textId="77777777" w:rsidR="00935A83" w:rsidRDefault="000F7AA1">
                    <w:pPr>
                      <w:pStyle w:val="Corpsdetexte"/>
                      <w:spacing w:line="244" w:lineRule="exact"/>
                      <w:ind w:left="60"/>
                      <w:rPr>
                        <w:rFonts w:ascii="Calibri"/>
                      </w:rPr>
                    </w:pPr>
                    <w:r>
                      <w:rPr>
                        <w:rFonts w:ascii="Calibri"/>
                        <w:spacing w:val="-10"/>
                      </w:rPr>
                      <w:fldChar w:fldCharType="begin"/>
                    </w:r>
                    <w:r>
                      <w:rPr>
                        <w:rFonts w:ascii="Calibri"/>
                        <w:spacing w:val="-10"/>
                        <w:sz w:val="19"/>
                      </w:rPr>
                      <w:instrText xml:space="preserve"> PAGE </w:instrText>
                    </w:r>
                    <w:r>
                      <w:rPr>
                        <w:rFonts w:ascii="Calibri"/>
                        <w:spacing w:val="-10"/>
                      </w:rPr>
                      <w:fldChar w:fldCharType="separate"/>
                    </w:r>
                    <w:r>
                      <w:rPr>
                        <w:rFonts w:ascii="Calibri"/>
                        <w:spacing w:val="-10"/>
                        <w:sz w:val="19"/>
                      </w:rPr>
                      <w:t>4</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9CA70" w14:textId="77777777" w:rsidR="00D456E1" w:rsidRDefault="00D456E1">
      <w:r>
        <w:separator/>
      </w:r>
    </w:p>
  </w:footnote>
  <w:footnote w:type="continuationSeparator" w:id="0">
    <w:p w14:paraId="7B6AC94E" w14:textId="77777777" w:rsidR="00D456E1" w:rsidRDefault="00D456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6580C" w14:textId="77777777" w:rsidR="00935A83" w:rsidRDefault="000F7AA1">
    <w:pPr>
      <w:pStyle w:val="Corpsdetexte"/>
      <w:spacing w:line="14" w:lineRule="auto"/>
      <w:rPr>
        <w:sz w:val="20"/>
      </w:rPr>
    </w:pPr>
    <w:r>
      <w:rPr>
        <w:noProof/>
        <w:sz w:val="20"/>
      </w:rPr>
      <w:drawing>
        <wp:anchor distT="0" distB="0" distL="0" distR="0" simplePos="0" relativeHeight="251656704" behindDoc="1" locked="0" layoutInCell="1" allowOverlap="1" wp14:anchorId="726F0611" wp14:editId="2848A506">
          <wp:simplePos x="0" y="0"/>
          <wp:positionH relativeFrom="page">
            <wp:posOffset>5402579</wp:posOffset>
          </wp:positionH>
          <wp:positionV relativeFrom="page">
            <wp:posOffset>450900</wp:posOffset>
          </wp:positionV>
          <wp:extent cx="1243329" cy="867232"/>
          <wp:effectExtent l="0" t="0" r="0" b="0"/>
          <wp:wrapNone/>
          <wp:docPr id="1" name="Image 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243329" cy="867232"/>
                  </a:xfrm>
                  <a:prstGeom prst="rect">
                    <a:avLst/>
                  </a:prstGeom>
                </pic:spPr>
              </pic:pic>
            </a:graphicData>
          </a:graphic>
        </wp:anchor>
      </w:drawing>
    </w:r>
    <w:r>
      <w:rPr>
        <w:noProof/>
        <w:sz w:val="20"/>
      </w:rPr>
      <mc:AlternateContent>
        <mc:Choice Requires="wps">
          <w:drawing>
            <wp:anchor distT="0" distB="0" distL="0" distR="0" simplePos="0" relativeHeight="251657728" behindDoc="1" locked="0" layoutInCell="1" allowOverlap="1" wp14:anchorId="05EFB1EC" wp14:editId="57895CEF">
              <wp:simplePos x="0" y="0"/>
              <wp:positionH relativeFrom="page">
                <wp:posOffset>902335</wp:posOffset>
              </wp:positionH>
              <wp:positionV relativeFrom="page">
                <wp:posOffset>1210691</wp:posOffset>
              </wp:positionV>
              <wp:extent cx="1144270" cy="165100"/>
              <wp:effectExtent l="0" t="0" r="0" b="0"/>
              <wp:wrapNone/>
              <wp:docPr id="2" name="Textbox 2"/>
              <wp:cNvGraphicFramePr/>
              <a:graphic xmlns:a="http://schemas.openxmlformats.org/drawingml/2006/main">
                <a:graphicData uri="http://schemas.microsoft.com/office/word/2010/wordprocessingShape">
                  <wps:wsp>
                    <wps:cNvSpPr txBox="1"/>
                    <wps:spPr>
                      <a:xfrm>
                        <a:off x="0" y="0"/>
                        <a:ext cx="1144270" cy="165100"/>
                      </a:xfrm>
                      <a:prstGeom prst="rect">
                        <a:avLst/>
                      </a:prstGeom>
                    </wps:spPr>
                    <wps:txbx>
                      <w:txbxContent>
                        <w:p w14:paraId="53E6EF35" w14:textId="77777777" w:rsidR="00935A83" w:rsidRDefault="000F7AA1">
                          <w:pPr>
                            <w:spacing w:line="244" w:lineRule="exact"/>
                            <w:ind w:left="20"/>
                            <w:rPr>
                              <w:rFonts w:ascii="Calibri"/>
                              <w:b/>
                            </w:rPr>
                          </w:pPr>
                          <w:r>
                            <w:rPr>
                              <w:rFonts w:ascii="Calibri"/>
                              <w:b/>
                              <w:spacing w:val="-4"/>
                              <w:sz w:val="19"/>
                            </w:rPr>
                            <w:t>Q294-RES-TM-2025</w:t>
                          </w:r>
                        </w:p>
                      </w:txbxContent>
                    </wps:txbx>
                    <wps:bodyPr wrap="square" lIns="0" tIns="0" rIns="0" bIns="0" rtlCol="0"/>
                  </wps:wsp>
                </a:graphicData>
              </a:graphic>
            </wp:anchor>
          </w:drawing>
        </mc:Choice>
        <mc:Fallback>
          <w:pict>
            <v:shapetype w14:anchorId="05EFB1EC" id="_x0000_t202" coordsize="21600,21600" o:spt="202" path="m,l,21600r21600,l21600,xe">
              <v:stroke joinstyle="miter"/>
              <v:path gradientshapeok="t" o:connecttype="rect"/>
            </v:shapetype>
            <v:shape id="Textbox 2" o:spid="_x0000_s1026" type="#_x0000_t202" style="position:absolute;margin-left:71.05pt;margin-top:95.35pt;width:90.1pt;height:13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" filled="f" stroked="f">
              <v:textbox inset="0,0,0,0">
                <w:txbxContent>
                  <w:p w14:paraId="53E6EF35" w14:textId="77777777" w:rsidR="00935A83" w:rsidRDefault="000F7AA1">
                    <w:pPr>
                      <w:spacing w:line="244" w:lineRule="exact"/>
                      <w:ind w:left="20"/>
                      <w:rPr>
                        <w:rFonts w:ascii="Calibri"/>
                        <w:b/>
                      </w:rPr>
                    </w:pPr>
                    <w:r>
                      <w:rPr>
                        <w:rFonts w:ascii="Calibri"/>
                        <w:b/>
                        <w:spacing w:val="-4"/>
                        <w:sz w:val="19"/>
                      </w:rPr>
                      <w:t>Q294-RES-TM-2025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DF7C8"/>
    <w:multiLevelType w:val="hybridMultilevel"/>
    <w:tmpl w:val="00000000"/>
    <w:lvl w:ilvl="0" w:tplc="15F6047A">
      <w:start w:val="1"/>
      <w:numFmt w:val="lowerLetter"/>
      <w:lvlText w:val="%1)"/>
      <w:lvlJc w:val="left"/>
      <w:pPr>
        <w:ind w:left="1607" w:hanging="721"/>
      </w:pPr>
      <w:rPr>
        <w:rFonts w:ascii="Arial" w:eastAsia="Arial" w:hAnsi="Arial" w:cs="Arial" w:hint="default"/>
        <w:b w:val="0"/>
        <w:bCs w:val="0"/>
        <w:i w:val="0"/>
        <w:iCs w:val="0"/>
        <w:spacing w:val="0"/>
        <w:w w:val="127"/>
        <w:sz w:val="22"/>
        <w:szCs w:val="22"/>
        <w:lang w:val="en-US" w:eastAsia="en-US" w:bidi="ar-SA"/>
      </w:rPr>
    </w:lvl>
    <w:lvl w:ilvl="1" w:tplc="29003EEE">
      <w:numFmt w:val="bullet"/>
      <w:lvlText w:val="•"/>
      <w:lvlJc w:val="left"/>
      <w:pPr>
        <w:ind w:left="2376" w:hanging="721"/>
      </w:pPr>
      <w:rPr>
        <w:rFonts w:hint="default"/>
        <w:lang w:val="en-US" w:eastAsia="en-US" w:bidi="ar-SA"/>
      </w:rPr>
    </w:lvl>
    <w:lvl w:ilvl="2" w:tplc="96C8F5E6">
      <w:numFmt w:val="bullet"/>
      <w:lvlText w:val="•"/>
      <w:lvlJc w:val="left"/>
      <w:pPr>
        <w:ind w:left="3152" w:hanging="721"/>
      </w:pPr>
      <w:rPr>
        <w:rFonts w:hint="default"/>
        <w:lang w:val="en-US" w:eastAsia="en-US" w:bidi="ar-SA"/>
      </w:rPr>
    </w:lvl>
    <w:lvl w:ilvl="3" w:tplc="04EAE3B4">
      <w:numFmt w:val="bullet"/>
      <w:lvlText w:val="•"/>
      <w:lvlJc w:val="left"/>
      <w:pPr>
        <w:ind w:left="3928" w:hanging="721"/>
      </w:pPr>
      <w:rPr>
        <w:rFonts w:hint="default"/>
        <w:lang w:val="en-US" w:eastAsia="en-US" w:bidi="ar-SA"/>
      </w:rPr>
    </w:lvl>
    <w:lvl w:ilvl="4" w:tplc="2BA49664">
      <w:numFmt w:val="bullet"/>
      <w:lvlText w:val="•"/>
      <w:lvlJc w:val="left"/>
      <w:pPr>
        <w:ind w:left="4704" w:hanging="721"/>
      </w:pPr>
      <w:rPr>
        <w:rFonts w:hint="default"/>
        <w:lang w:val="en-US" w:eastAsia="en-US" w:bidi="ar-SA"/>
      </w:rPr>
    </w:lvl>
    <w:lvl w:ilvl="5" w:tplc="1CB6EB9A">
      <w:numFmt w:val="bullet"/>
      <w:lvlText w:val="•"/>
      <w:lvlJc w:val="left"/>
      <w:pPr>
        <w:ind w:left="5480" w:hanging="721"/>
      </w:pPr>
      <w:rPr>
        <w:rFonts w:hint="default"/>
        <w:lang w:val="en-US" w:eastAsia="en-US" w:bidi="ar-SA"/>
      </w:rPr>
    </w:lvl>
    <w:lvl w:ilvl="6" w:tplc="F0268F18">
      <w:numFmt w:val="bullet"/>
      <w:lvlText w:val="•"/>
      <w:lvlJc w:val="left"/>
      <w:pPr>
        <w:ind w:left="6256" w:hanging="721"/>
      </w:pPr>
      <w:rPr>
        <w:rFonts w:hint="default"/>
        <w:lang w:val="en-US" w:eastAsia="en-US" w:bidi="ar-SA"/>
      </w:rPr>
    </w:lvl>
    <w:lvl w:ilvl="7" w:tplc="36ACF6A2">
      <w:numFmt w:val="bullet"/>
      <w:lvlText w:val="•"/>
      <w:lvlJc w:val="left"/>
      <w:pPr>
        <w:ind w:left="7032" w:hanging="721"/>
      </w:pPr>
      <w:rPr>
        <w:rFonts w:hint="default"/>
        <w:lang w:val="en-US" w:eastAsia="en-US" w:bidi="ar-SA"/>
      </w:rPr>
    </w:lvl>
    <w:lvl w:ilvl="8" w:tplc="41000DD2">
      <w:numFmt w:val="bullet"/>
      <w:lvlText w:val="•"/>
      <w:lvlJc w:val="left"/>
      <w:pPr>
        <w:ind w:left="7808" w:hanging="721"/>
      </w:pPr>
      <w:rPr>
        <w:rFonts w:hint="default"/>
        <w:lang w:val="en-US" w:eastAsia="en-US" w:bidi="ar-SA"/>
      </w:rPr>
    </w:lvl>
  </w:abstractNum>
  <w:abstractNum w:abstractNumId="1" w15:restartNumberingAfterBreak="0">
    <w:nsid w:val="429769AF"/>
    <w:multiLevelType w:val="hybridMultilevel"/>
    <w:tmpl w:val="E2207E1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665729D"/>
    <w:multiLevelType w:val="hybridMultilevel"/>
    <w:tmpl w:val="00000000"/>
    <w:lvl w:ilvl="0" w:tplc="1C4AA9A0">
      <w:start w:val="1"/>
      <w:numFmt w:val="decimal"/>
      <w:lvlText w:val="%1)"/>
      <w:lvlJc w:val="left"/>
      <w:pPr>
        <w:ind w:left="736" w:hanging="571"/>
      </w:pPr>
      <w:rPr>
        <w:rFonts w:ascii="Arial" w:eastAsia="Arial" w:hAnsi="Arial" w:cs="Arial" w:hint="default"/>
        <w:b w:val="0"/>
        <w:bCs w:val="0"/>
        <w:i w:val="0"/>
        <w:iCs w:val="0"/>
        <w:spacing w:val="-1"/>
        <w:w w:val="87"/>
        <w:sz w:val="22"/>
        <w:szCs w:val="22"/>
        <w:lang w:val="en-US" w:eastAsia="en-US" w:bidi="ar-SA"/>
      </w:rPr>
    </w:lvl>
    <w:lvl w:ilvl="1" w:tplc="FE4425DE">
      <w:start w:val="1"/>
      <w:numFmt w:val="decimal"/>
      <w:lvlText w:val="%2)"/>
      <w:lvlJc w:val="left"/>
      <w:pPr>
        <w:ind w:left="887" w:hanging="361"/>
      </w:pPr>
      <w:rPr>
        <w:rFonts w:ascii="Arial" w:eastAsia="Arial" w:hAnsi="Arial" w:cs="Arial" w:hint="default"/>
        <w:b w:val="0"/>
        <w:bCs w:val="0"/>
        <w:i w:val="0"/>
        <w:iCs w:val="0"/>
        <w:spacing w:val="-1"/>
        <w:w w:val="87"/>
        <w:sz w:val="22"/>
        <w:szCs w:val="22"/>
        <w:lang w:val="en-US" w:eastAsia="en-US" w:bidi="ar-SA"/>
      </w:rPr>
    </w:lvl>
    <w:lvl w:ilvl="2" w:tplc="09181808">
      <w:start w:val="1"/>
      <w:numFmt w:val="lowerLetter"/>
      <w:lvlText w:val="%3."/>
      <w:lvlJc w:val="left"/>
      <w:pPr>
        <w:ind w:left="1607" w:hanging="361"/>
      </w:pPr>
      <w:rPr>
        <w:rFonts w:ascii="Arial" w:eastAsia="Arial" w:hAnsi="Arial" w:cs="Arial" w:hint="default"/>
        <w:b w:val="0"/>
        <w:bCs w:val="0"/>
        <w:i w:val="0"/>
        <w:iCs w:val="0"/>
        <w:spacing w:val="0"/>
        <w:w w:val="106"/>
        <w:sz w:val="22"/>
        <w:szCs w:val="22"/>
        <w:lang w:val="en-US" w:eastAsia="en-US" w:bidi="ar-SA"/>
      </w:rPr>
    </w:lvl>
    <w:lvl w:ilvl="3" w:tplc="552602B4">
      <w:numFmt w:val="bullet"/>
      <w:lvlText w:val="•"/>
      <w:lvlJc w:val="left"/>
      <w:pPr>
        <w:ind w:left="2570" w:hanging="361"/>
      </w:pPr>
      <w:rPr>
        <w:rFonts w:hint="default"/>
        <w:lang w:val="en-US" w:eastAsia="en-US" w:bidi="ar-SA"/>
      </w:rPr>
    </w:lvl>
    <w:lvl w:ilvl="4" w:tplc="248ECAE6">
      <w:numFmt w:val="bullet"/>
      <w:lvlText w:val="•"/>
      <w:lvlJc w:val="left"/>
      <w:pPr>
        <w:ind w:left="3540" w:hanging="361"/>
      </w:pPr>
      <w:rPr>
        <w:rFonts w:hint="default"/>
        <w:lang w:val="en-US" w:eastAsia="en-US" w:bidi="ar-SA"/>
      </w:rPr>
    </w:lvl>
    <w:lvl w:ilvl="5" w:tplc="737A97C6">
      <w:numFmt w:val="bullet"/>
      <w:lvlText w:val="•"/>
      <w:lvlJc w:val="left"/>
      <w:pPr>
        <w:ind w:left="4510" w:hanging="361"/>
      </w:pPr>
      <w:rPr>
        <w:rFonts w:hint="default"/>
        <w:lang w:val="en-US" w:eastAsia="en-US" w:bidi="ar-SA"/>
      </w:rPr>
    </w:lvl>
    <w:lvl w:ilvl="6" w:tplc="1F4894A6">
      <w:numFmt w:val="bullet"/>
      <w:lvlText w:val="•"/>
      <w:lvlJc w:val="left"/>
      <w:pPr>
        <w:ind w:left="5480" w:hanging="361"/>
      </w:pPr>
      <w:rPr>
        <w:rFonts w:hint="default"/>
        <w:lang w:val="en-US" w:eastAsia="en-US" w:bidi="ar-SA"/>
      </w:rPr>
    </w:lvl>
    <w:lvl w:ilvl="7" w:tplc="33C433F8">
      <w:numFmt w:val="bullet"/>
      <w:lvlText w:val="•"/>
      <w:lvlJc w:val="left"/>
      <w:pPr>
        <w:ind w:left="6450" w:hanging="361"/>
      </w:pPr>
      <w:rPr>
        <w:rFonts w:hint="default"/>
        <w:lang w:val="en-US" w:eastAsia="en-US" w:bidi="ar-SA"/>
      </w:rPr>
    </w:lvl>
    <w:lvl w:ilvl="8" w:tplc="05946F84">
      <w:numFmt w:val="bullet"/>
      <w:lvlText w:val="•"/>
      <w:lvlJc w:val="left"/>
      <w:pPr>
        <w:ind w:left="7420" w:hanging="361"/>
      </w:pPr>
      <w:rPr>
        <w:rFonts w:hint="default"/>
        <w:lang w:val="en-US" w:eastAsia="en-US" w:bidi="ar-SA"/>
      </w:rPr>
    </w:lvl>
  </w:abstractNum>
  <w:abstractNum w:abstractNumId="3" w15:restartNumberingAfterBreak="0">
    <w:nsid w:val="6011388C"/>
    <w:multiLevelType w:val="hybridMultilevel"/>
    <w:tmpl w:val="07CA4F70"/>
    <w:lvl w:ilvl="0" w:tplc="11C87750">
      <w:start w:val="1"/>
      <w:numFmt w:val="lowerLetter"/>
      <w:lvlText w:val="%1)"/>
      <w:lvlJc w:val="left"/>
      <w:pPr>
        <w:ind w:left="1607" w:hanging="731"/>
      </w:pPr>
      <w:rPr>
        <w:rFonts w:ascii="Arial" w:eastAsia="Arial" w:hAnsi="Arial" w:cs="Arial" w:hint="default"/>
        <w:b w:val="0"/>
        <w:bCs w:val="0"/>
        <w:i w:val="0"/>
        <w:iCs w:val="0"/>
        <w:spacing w:val="0"/>
        <w:w w:val="127"/>
        <w:sz w:val="20"/>
        <w:szCs w:val="20"/>
        <w:lang w:val="en-US" w:eastAsia="en-US" w:bidi="ar-SA"/>
      </w:rPr>
    </w:lvl>
    <w:lvl w:ilvl="1" w:tplc="05B2C480">
      <w:numFmt w:val="bullet"/>
      <w:lvlText w:val="•"/>
      <w:lvlJc w:val="left"/>
      <w:pPr>
        <w:ind w:left="2376" w:hanging="731"/>
      </w:pPr>
      <w:rPr>
        <w:rFonts w:hint="default"/>
        <w:lang w:val="en-US" w:eastAsia="en-US" w:bidi="ar-SA"/>
      </w:rPr>
    </w:lvl>
    <w:lvl w:ilvl="2" w:tplc="F6F260D6">
      <w:numFmt w:val="bullet"/>
      <w:lvlText w:val="•"/>
      <w:lvlJc w:val="left"/>
      <w:pPr>
        <w:ind w:left="3152" w:hanging="731"/>
      </w:pPr>
      <w:rPr>
        <w:rFonts w:hint="default"/>
        <w:lang w:val="en-US" w:eastAsia="en-US" w:bidi="ar-SA"/>
      </w:rPr>
    </w:lvl>
    <w:lvl w:ilvl="3" w:tplc="74F8E5C8">
      <w:numFmt w:val="bullet"/>
      <w:lvlText w:val="•"/>
      <w:lvlJc w:val="left"/>
      <w:pPr>
        <w:ind w:left="3928" w:hanging="731"/>
      </w:pPr>
      <w:rPr>
        <w:rFonts w:hint="default"/>
        <w:lang w:val="en-US" w:eastAsia="en-US" w:bidi="ar-SA"/>
      </w:rPr>
    </w:lvl>
    <w:lvl w:ilvl="4" w:tplc="DDB4D828">
      <w:numFmt w:val="bullet"/>
      <w:lvlText w:val="•"/>
      <w:lvlJc w:val="left"/>
      <w:pPr>
        <w:ind w:left="4704" w:hanging="731"/>
      </w:pPr>
      <w:rPr>
        <w:rFonts w:hint="default"/>
        <w:lang w:val="en-US" w:eastAsia="en-US" w:bidi="ar-SA"/>
      </w:rPr>
    </w:lvl>
    <w:lvl w:ilvl="5" w:tplc="2E549FFE">
      <w:numFmt w:val="bullet"/>
      <w:lvlText w:val="•"/>
      <w:lvlJc w:val="left"/>
      <w:pPr>
        <w:ind w:left="5480" w:hanging="731"/>
      </w:pPr>
      <w:rPr>
        <w:rFonts w:hint="default"/>
        <w:lang w:val="en-US" w:eastAsia="en-US" w:bidi="ar-SA"/>
      </w:rPr>
    </w:lvl>
    <w:lvl w:ilvl="6" w:tplc="3F622158">
      <w:numFmt w:val="bullet"/>
      <w:lvlText w:val="•"/>
      <w:lvlJc w:val="left"/>
      <w:pPr>
        <w:ind w:left="6256" w:hanging="731"/>
      </w:pPr>
      <w:rPr>
        <w:rFonts w:hint="default"/>
        <w:lang w:val="en-US" w:eastAsia="en-US" w:bidi="ar-SA"/>
      </w:rPr>
    </w:lvl>
    <w:lvl w:ilvl="7" w:tplc="AB0A2932">
      <w:numFmt w:val="bullet"/>
      <w:lvlText w:val="•"/>
      <w:lvlJc w:val="left"/>
      <w:pPr>
        <w:ind w:left="7032" w:hanging="731"/>
      </w:pPr>
      <w:rPr>
        <w:rFonts w:hint="default"/>
        <w:lang w:val="en-US" w:eastAsia="en-US" w:bidi="ar-SA"/>
      </w:rPr>
    </w:lvl>
    <w:lvl w:ilvl="8" w:tplc="D06A262E">
      <w:numFmt w:val="bullet"/>
      <w:lvlText w:val="•"/>
      <w:lvlJc w:val="left"/>
      <w:pPr>
        <w:ind w:left="7808" w:hanging="731"/>
      </w:pPr>
      <w:rPr>
        <w:rFonts w:hint="default"/>
        <w:lang w:val="en-US" w:eastAsia="en-US" w:bidi="ar-SA"/>
      </w:rPr>
    </w:lvl>
  </w:abstractNum>
  <w:abstractNum w:abstractNumId="4" w15:restartNumberingAfterBreak="0">
    <w:nsid w:val="7C4777CF"/>
    <w:multiLevelType w:val="hybridMultilevel"/>
    <w:tmpl w:val="86362B24"/>
    <w:lvl w:ilvl="0" w:tplc="4BB25C26">
      <w:start w:val="1"/>
      <w:numFmt w:val="lowerLetter"/>
      <w:lvlText w:val="%1)"/>
      <w:lvlJc w:val="left"/>
      <w:pPr>
        <w:ind w:left="720" w:hanging="360"/>
      </w:pPr>
      <w:rPr>
        <w:rFonts w:hint="default"/>
        <w:w w:val="115"/>
        <w:sz w:val="19"/>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146660935">
    <w:abstractNumId w:val="0"/>
  </w:num>
  <w:num w:numId="2" w16cid:durableId="670765373">
    <w:abstractNumId w:val="3"/>
  </w:num>
  <w:num w:numId="3" w16cid:durableId="1738161684">
    <w:abstractNumId w:val="2"/>
  </w:num>
  <w:num w:numId="4" w16cid:durableId="1566913895">
    <w:abstractNumId w:val="1"/>
  </w:num>
  <w:num w:numId="5" w16cid:durableId="16245305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A83"/>
    <w:rsid w:val="000C2092"/>
    <w:rsid w:val="000F7AA1"/>
    <w:rsid w:val="00386757"/>
    <w:rsid w:val="003B2B7F"/>
    <w:rsid w:val="003C19FE"/>
    <w:rsid w:val="0045522B"/>
    <w:rsid w:val="004D628E"/>
    <w:rsid w:val="005F5ABE"/>
    <w:rsid w:val="00935A83"/>
    <w:rsid w:val="009A74AA"/>
    <w:rsid w:val="009C2430"/>
    <w:rsid w:val="00B71412"/>
    <w:rsid w:val="00BE02D5"/>
    <w:rsid w:val="00C57D76"/>
    <w:rsid w:val="00CC48A8"/>
    <w:rsid w:val="00D456E1"/>
    <w:rsid w:val="00E15F7B"/>
    <w:rsid w:val="00E81EE4"/>
    <w:rsid w:val="00F265AB"/>
    <w:rsid w:val="00F418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B886B"/>
  <w15:docId w15:val="{A18BE967-0A70-4197-A16A-12EBB6C7E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Titre1">
    <w:name w:val="heading 1"/>
    <w:basedOn w:val="Normal"/>
    <w:uiPriority w:val="1"/>
    <w:qFormat/>
    <w:pPr>
      <w:outlineLvl w:val="0"/>
    </w:pPr>
    <w:rPr>
      <w:rFonts w:ascii="Arial Black" w:eastAsia="Arial Black" w:hAnsi="Arial Black" w:cs="Arial Black"/>
      <w:b/>
      <w:bCs/>
      <w:sz w:val="24"/>
      <w:szCs w:val="24"/>
    </w:rPr>
  </w:style>
  <w:style w:type="paragraph" w:styleId="Titre2">
    <w:name w:val="heading 2"/>
    <w:basedOn w:val="Normal"/>
    <w:uiPriority w:val="1"/>
    <w:qFormat/>
    <w:pPr>
      <w:ind w:left="165"/>
      <w:outlineLvl w:val="1"/>
    </w:pPr>
    <w:rPr>
      <w:rFonts w:ascii="Arial Black" w:eastAsia="Arial Black" w:hAnsi="Arial Black" w:cs="Arial Black"/>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Paragraphedeliste">
    <w:name w:val="List Paragraph"/>
    <w:basedOn w:val="Normal"/>
    <w:uiPriority w:val="1"/>
    <w:qFormat/>
    <w:pPr>
      <w:ind w:left="1607" w:hanging="361"/>
      <w:jc w:val="both"/>
    </w:pPr>
  </w:style>
  <w:style w:type="paragraph" w:customStyle="1" w:styleId="TableParagraph">
    <w:name w:val="Table Paragraph"/>
    <w:basedOn w:val="Normal"/>
    <w:uiPriority w:val="1"/>
    <w:qFormat/>
  </w:style>
  <w:style w:type="paragraph" w:styleId="Rvision">
    <w:name w:val="Revision"/>
    <w:hidden/>
    <w:uiPriority w:val="99"/>
    <w:semiHidden/>
    <w:rsid w:val="00386757"/>
    <w:pPr>
      <w:widowControl/>
      <w:autoSpaceDE/>
      <w:autoSpaceDN/>
    </w:pPr>
    <w:rPr>
      <w:rFonts w:ascii="Arial" w:eastAsia="Arial" w:hAnsi="Arial" w:cs="Arial"/>
    </w:rPr>
  </w:style>
  <w:style w:type="paragraph" w:styleId="En-tte">
    <w:name w:val="header"/>
    <w:basedOn w:val="Normal"/>
    <w:link w:val="En-tteCar"/>
    <w:uiPriority w:val="99"/>
    <w:unhideWhenUsed/>
    <w:rsid w:val="009C2430"/>
    <w:pPr>
      <w:tabs>
        <w:tab w:val="center" w:pos="4536"/>
        <w:tab w:val="right" w:pos="9072"/>
      </w:tabs>
    </w:pPr>
  </w:style>
  <w:style w:type="character" w:customStyle="1" w:styleId="En-tteCar">
    <w:name w:val="En-tête Car"/>
    <w:basedOn w:val="Policepardfaut"/>
    <w:link w:val="En-tte"/>
    <w:uiPriority w:val="99"/>
    <w:rsid w:val="009C2430"/>
    <w:rPr>
      <w:rFonts w:ascii="Arial" w:eastAsia="Arial" w:hAnsi="Arial" w:cs="Arial"/>
    </w:rPr>
  </w:style>
  <w:style w:type="paragraph" w:styleId="Pieddepage">
    <w:name w:val="footer"/>
    <w:basedOn w:val="Normal"/>
    <w:link w:val="PieddepageCar"/>
    <w:uiPriority w:val="99"/>
    <w:unhideWhenUsed/>
    <w:rsid w:val="009C2430"/>
    <w:pPr>
      <w:tabs>
        <w:tab w:val="center" w:pos="4536"/>
        <w:tab w:val="right" w:pos="9072"/>
      </w:tabs>
    </w:pPr>
  </w:style>
  <w:style w:type="character" w:customStyle="1" w:styleId="PieddepageCar">
    <w:name w:val="Pied de page Car"/>
    <w:basedOn w:val="Policepardfaut"/>
    <w:link w:val="Pieddepage"/>
    <w:uiPriority w:val="99"/>
    <w:rsid w:val="009C243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ipp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968</Words>
  <Characters>5326</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Deirdre George</dc:creator>
  <cp:keywords>, docId:27D86875177B031710DC1FA00D3EEAC2</cp:keywords>
  <cp:lastModifiedBy>Emily GUTH</cp:lastModifiedBy>
  <cp:revision>3</cp:revision>
  <dcterms:created xsi:type="dcterms:W3CDTF">2025-10-02T12:54:00Z</dcterms:created>
  <dcterms:modified xsi:type="dcterms:W3CDTF">2025-10-02T12:55:00Z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2025-09-24T00:00:00Z</vt:filetime>
  </property>
  <property fmtid="{D5CDD505-2E9C-101B-9397-08002B2CF9AE}" pid="3" name="Creator">
    <vt:lpwstr>Microsoft® Word for Microsoft 365</vt:lpwstr>
  </property>
  <property fmtid="{D5CDD505-2E9C-101B-9397-08002B2CF9AE}" pid="4" name="LastSaved">
    <vt:filetime>2025-09-29T00:00:00Z</vt:filetime>
  </property>
  <property fmtid="{D5CDD505-2E9C-101B-9397-08002B2CF9AE}" pid="5" name="Producer">
    <vt:lpwstr>Microsoft® Word for Microsoft 365</vt:lpwstr>
  </property>
</Properties>
</file>