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B398A" w14:textId="77777777" w:rsidR="00E4657A" w:rsidRPr="00A25A37" w:rsidRDefault="00E4657A" w:rsidP="00E4657A">
      <w:r w:rsidRPr="00A25A37">
        <w:rPr>
          <w:lang w:val="fr-FR"/>
        </w:rPr>
        <w:t>Congrès mondial de l'</w:t>
      </w:r>
      <w:proofErr w:type="spellStart"/>
      <w:r w:rsidRPr="00A25A37">
        <w:rPr>
          <w:lang w:val="fr-FR"/>
        </w:rPr>
        <w:t>AIPPI</w:t>
      </w:r>
      <w:proofErr w:type="spellEnd"/>
      <w:r w:rsidRPr="00A25A37">
        <w:rPr>
          <w:lang w:val="fr-FR"/>
        </w:rPr>
        <w:t xml:space="preserve"> 2025 </w:t>
      </w:r>
      <w:r w:rsidRPr="00A25A37">
        <w:t>–</w:t>
      </w:r>
      <w:r w:rsidRPr="00A25A37">
        <w:rPr>
          <w:lang w:val="fr-FR"/>
        </w:rPr>
        <w:t xml:space="preserve"> Yokohama</w:t>
      </w:r>
      <w:r w:rsidRPr="00A25A37">
        <w:t xml:space="preserve"> </w:t>
      </w:r>
    </w:p>
    <w:p w14:paraId="315B2598" w14:textId="77777777" w:rsidR="00E4657A" w:rsidRPr="00A25A37" w:rsidRDefault="00E4657A" w:rsidP="00E4657A">
      <w:pPr>
        <w:rPr>
          <w:lang w:val="fr-FR"/>
        </w:rPr>
      </w:pPr>
      <w:r w:rsidRPr="00A25A37">
        <w:rPr>
          <w:lang w:val="fr-FR"/>
        </w:rPr>
        <w:t xml:space="preserve">Résolution adoptée </w:t>
      </w:r>
    </w:p>
    <w:p w14:paraId="10BE167B" w14:textId="77777777" w:rsidR="00E4657A" w:rsidRPr="00A25A37" w:rsidRDefault="00E4657A" w:rsidP="00E4657A">
      <w:pPr>
        <w:rPr>
          <w:lang w:val="fr-FR"/>
        </w:rPr>
      </w:pPr>
      <w:r w:rsidRPr="00A25A37">
        <w:t xml:space="preserve">Le </w:t>
      </w:r>
      <w:r w:rsidRPr="00A25A37">
        <w:rPr>
          <w:lang w:val="fr-FR"/>
        </w:rPr>
        <w:t>16 septembre 2025</w:t>
      </w:r>
    </w:p>
    <w:p w14:paraId="6771337D" w14:textId="77777777" w:rsidR="00E4657A" w:rsidRPr="00A25A37" w:rsidRDefault="00E4657A" w:rsidP="00E4657A">
      <w:pPr>
        <w:rPr>
          <w:lang w:val="fr-FR"/>
        </w:rPr>
      </w:pPr>
    </w:p>
    <w:p w14:paraId="7CD13532" w14:textId="77777777" w:rsidR="00E4657A" w:rsidRPr="00A25A37" w:rsidRDefault="00E4657A" w:rsidP="00E4657A">
      <w:pPr>
        <w:rPr>
          <w:lang w:val="fr-FR"/>
        </w:rPr>
      </w:pPr>
    </w:p>
    <w:p w14:paraId="00F2C9DC" w14:textId="77777777" w:rsidR="00E4657A" w:rsidRPr="00E4657A" w:rsidRDefault="00E4657A" w:rsidP="00E4657A">
      <w:pPr>
        <w:jc w:val="center"/>
        <w:rPr>
          <w:b/>
          <w:bCs/>
          <w:lang w:val="fr-FR"/>
        </w:rPr>
      </w:pPr>
      <w:r w:rsidRPr="00E4657A">
        <w:rPr>
          <w:b/>
          <w:bCs/>
          <w:lang w:val="fr-FR"/>
        </w:rPr>
        <w:t>Résolution</w:t>
      </w:r>
    </w:p>
    <w:p w14:paraId="7D36B8C9" w14:textId="77777777" w:rsidR="00E4657A" w:rsidRPr="00E4657A" w:rsidRDefault="00E4657A" w:rsidP="00E4657A">
      <w:pPr>
        <w:jc w:val="center"/>
        <w:rPr>
          <w:b/>
          <w:bCs/>
          <w:lang w:val="fr-FR"/>
        </w:rPr>
      </w:pPr>
    </w:p>
    <w:p w14:paraId="375BFC3E" w14:textId="6FF7AE9A" w:rsidR="00E4657A" w:rsidRPr="00E4657A" w:rsidRDefault="00E4657A" w:rsidP="00E4657A">
      <w:pPr>
        <w:jc w:val="center"/>
        <w:rPr>
          <w:b/>
          <w:bCs/>
          <w:lang w:val="fr-FR"/>
        </w:rPr>
      </w:pPr>
      <w:r w:rsidRPr="00E4657A">
        <w:rPr>
          <w:b/>
          <w:bCs/>
          <w:lang w:val="fr-FR"/>
        </w:rPr>
        <w:t xml:space="preserve">2025 – Question </w:t>
      </w:r>
      <w:r w:rsidRPr="00E4657A">
        <w:rPr>
          <w:b/>
          <w:bCs/>
        </w:rPr>
        <w:t>à l’</w:t>
      </w:r>
      <w:r w:rsidRPr="00E4657A">
        <w:rPr>
          <w:b/>
          <w:bCs/>
          <w:lang w:val="fr-FR"/>
        </w:rPr>
        <w:t>étude – Brevets</w:t>
      </w:r>
    </w:p>
    <w:p w14:paraId="5EE8BA40" w14:textId="77777777" w:rsidR="00E4657A" w:rsidRPr="00E4657A" w:rsidRDefault="00E4657A" w:rsidP="00E4657A">
      <w:pPr>
        <w:jc w:val="center"/>
        <w:rPr>
          <w:b/>
          <w:bCs/>
          <w:lang w:val="fr-FR"/>
        </w:rPr>
      </w:pPr>
      <w:r w:rsidRPr="00E4657A">
        <w:rPr>
          <w:b/>
          <w:bCs/>
          <w:lang w:val="fr-FR"/>
        </w:rPr>
        <w:t>Licences obligatoires</w:t>
      </w:r>
    </w:p>
    <w:p w14:paraId="676D4875" w14:textId="1E3E2AA7" w:rsidR="00E4657A" w:rsidRPr="00A25A37" w:rsidRDefault="00E4657A" w:rsidP="00E4657A">
      <w:pPr>
        <w:rPr>
          <w:lang w:val="fr-FR"/>
        </w:rPr>
      </w:pPr>
      <w:r w:rsidRPr="00A25A37">
        <w:rPr>
          <w:lang w:val="fr-FR"/>
        </w:rPr>
        <mc:AlternateContent>
          <mc:Choice Requires="wps">
            <w:drawing>
              <wp:anchor distT="0" distB="0" distL="0" distR="0" simplePos="0" relativeHeight="251659264" behindDoc="1" locked="0" layoutInCell="1" allowOverlap="1" wp14:anchorId="4AF86E07" wp14:editId="37A1D33E">
                <wp:simplePos x="0" y="0"/>
                <wp:positionH relativeFrom="page">
                  <wp:posOffset>895985</wp:posOffset>
                </wp:positionH>
                <wp:positionV relativeFrom="paragraph">
                  <wp:posOffset>95357</wp:posOffset>
                </wp:positionV>
                <wp:extent cx="5777230" cy="6350"/>
                <wp:effectExtent l="0" t="0" r="0" b="0"/>
                <wp:wrapTopAndBottom/>
                <wp:docPr id="4" name="Graphic 4"/>
                <wp:cNvGraphicFramePr/>
                <a:graphic xmlns:a="http://schemas.openxmlformats.org/drawingml/2006/main">
                  <a:graphicData uri="http://schemas.microsoft.com/office/word/2010/wordprocessingShape">
                    <wps:wsp>
                      <wps:cNvSpPr/>
                      <wps:spPr>
                        <a:xfrm>
                          <a:off x="0" y="0"/>
                          <a:ext cx="5777230" cy="6350"/>
                        </a:xfrm>
                        <a:custGeom>
                          <a:avLst/>
                          <a:gdLst/>
                          <a:ahLst/>
                          <a:cxnLst/>
                          <a:rect l="l" t="t" r="r" b="b"/>
                          <a:pathLst>
                            <a:path w="5777230" h="6350">
                              <a:moveTo>
                                <a:pt x="5776975" y="0"/>
                              </a:moveTo>
                              <a:lnTo>
                                <a:pt x="0" y="0"/>
                              </a:lnTo>
                              <a:lnTo>
                                <a:pt x="0" y="6350"/>
                              </a:lnTo>
                              <a:lnTo>
                                <a:pt x="5776975" y="6350"/>
                              </a:lnTo>
                              <a:lnTo>
                                <a:pt x="57769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2C91699" id="Graphic 4" o:spid="_x0000_s1026" style="position:absolute;margin-left:70.55pt;margin-top:7.5pt;width:454.9pt;height:.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77723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" path="m5776975,l,,,6350r5776975,l5776975,xe" fillcolor="black" stroked="f">
                <v:path arrowok="t"/>
                <w10:wrap type="topAndBottom" anchorx="page"/>
              </v:shape>
            </w:pict>
          </mc:Fallback>
        </mc:AlternateContent>
      </w:r>
    </w:p>
    <w:p w14:paraId="6681B02E" w14:textId="77777777" w:rsidR="00E4657A" w:rsidRPr="00E4657A" w:rsidRDefault="00E4657A" w:rsidP="00E4657A">
      <w:pPr>
        <w:rPr>
          <w:b/>
          <w:bCs/>
          <w:lang w:val="fr-FR"/>
        </w:rPr>
      </w:pPr>
      <w:r w:rsidRPr="00E4657A">
        <w:rPr>
          <w:b/>
          <w:bCs/>
          <w:lang w:val="fr-FR"/>
        </w:rPr>
        <w:t>Contexte</w:t>
      </w:r>
      <w:r w:rsidRPr="00E4657A">
        <w:rPr>
          <w:b/>
          <w:bCs/>
        </w:rPr>
        <w:t> :</w:t>
      </w:r>
    </w:p>
    <w:p w14:paraId="1850C255" w14:textId="77777777" w:rsidR="00E4657A" w:rsidRPr="00A25A37" w:rsidRDefault="00E4657A" w:rsidP="00E4657A">
      <w:pPr>
        <w:rPr>
          <w:lang w:val="fr-FR"/>
        </w:rPr>
      </w:pPr>
    </w:p>
    <w:p w14:paraId="6D3C06C0" w14:textId="3125ECF9" w:rsidR="00E4657A" w:rsidRPr="00E4657A" w:rsidRDefault="00E4657A" w:rsidP="00E4657A">
      <w:pPr>
        <w:pStyle w:val="Paragraphedeliste"/>
        <w:numPr>
          <w:ilvl w:val="0"/>
          <w:numId w:val="1"/>
        </w:numPr>
        <w:jc w:val="both"/>
      </w:pPr>
      <w:r w:rsidRPr="00E4657A">
        <w:t>Aux fins de la présente résolution, « licence obligatoire » désigne l'autorisation accordée par le gouvernement ou un tribunal (autorité compétente) d'utiliser une invention brevetée sans le consentement du titulaire du brevet.</w:t>
      </w:r>
    </w:p>
    <w:p w14:paraId="32DBE5B8" w14:textId="77777777" w:rsidR="00E4657A" w:rsidRPr="00A25A37" w:rsidRDefault="00E4657A" w:rsidP="00E4657A">
      <w:pPr>
        <w:jc w:val="both"/>
        <w:rPr>
          <w:lang w:val="fr-FR"/>
        </w:rPr>
      </w:pPr>
    </w:p>
    <w:p w14:paraId="390881F6" w14:textId="4E83F9E3" w:rsidR="00E4657A" w:rsidRPr="00E4657A" w:rsidRDefault="00E4657A" w:rsidP="00E4657A">
      <w:pPr>
        <w:pStyle w:val="Paragraphedeliste"/>
        <w:numPr>
          <w:ilvl w:val="0"/>
          <w:numId w:val="1"/>
        </w:numPr>
        <w:jc w:val="both"/>
      </w:pPr>
      <w:r w:rsidRPr="00E4657A">
        <w:t>Aux fins de la présente résolution, le terme titulaire du brevet inclut les demandeurs de brevet, les titulaires de modèles d'utilité et les titulaires de CCP, le cas échéant.</w:t>
      </w:r>
    </w:p>
    <w:p w14:paraId="166E8419" w14:textId="77777777" w:rsidR="00E4657A" w:rsidRPr="00A25A37" w:rsidRDefault="00E4657A" w:rsidP="00E4657A">
      <w:pPr>
        <w:jc w:val="both"/>
        <w:rPr>
          <w:lang w:val="fr-FR"/>
        </w:rPr>
      </w:pPr>
    </w:p>
    <w:p w14:paraId="28CE82BC" w14:textId="474E1AE0" w:rsidR="00E4657A" w:rsidRPr="00E4657A" w:rsidRDefault="00E4657A" w:rsidP="00E4657A">
      <w:pPr>
        <w:pStyle w:val="Paragraphedeliste"/>
        <w:numPr>
          <w:ilvl w:val="0"/>
          <w:numId w:val="1"/>
        </w:numPr>
        <w:jc w:val="both"/>
      </w:pPr>
      <w:r>
        <w:t>L’objet de la</w:t>
      </w:r>
      <w:r w:rsidRPr="00E4657A">
        <w:t xml:space="preserve"> présente résolution porte sur les licences obligatoires accordées sur la base d'un intérêt supérieur spécifique et non uniquement sur la base de la dépendance </w:t>
      </w:r>
      <w:r>
        <w:t>entre</w:t>
      </w:r>
      <w:r w:rsidRPr="00E4657A">
        <w:t xml:space="preserve"> brevets ou de l'absence de mise en œuvre d'une invention en l'absence d'un intérêt supérieur. Il est reconnu que </w:t>
      </w:r>
      <w:r>
        <w:t>la</w:t>
      </w:r>
      <w:r w:rsidRPr="00E4657A">
        <w:t xml:space="preserve"> licence obligatoire </w:t>
      </w:r>
      <w:r>
        <w:t>couvre</w:t>
      </w:r>
      <w:r w:rsidRPr="00E4657A">
        <w:t xml:space="preserve"> différents régimes dans lesquels les autorités chargées de l'octroi prévalent sur les droits de brevet afin que les gouvernements puissent exploiter une invention brevetée sans le consentement du titulaire des droits. Par exemple, les licences d'État et l'utilisation par le gouvernement permettent à ce dernier d'exploiter les droits de brevet. Chacun peut avoir ses propres exigences et restrictions.</w:t>
      </w:r>
    </w:p>
    <w:p w14:paraId="157A1CFF" w14:textId="77777777" w:rsidR="00E4657A" w:rsidRPr="00A25A37" w:rsidRDefault="00E4657A" w:rsidP="00E4657A">
      <w:pPr>
        <w:jc w:val="both"/>
        <w:rPr>
          <w:lang w:val="fr-FR"/>
        </w:rPr>
      </w:pPr>
    </w:p>
    <w:p w14:paraId="08B72D0B" w14:textId="77777777" w:rsidR="00E4657A" w:rsidRPr="00E4657A" w:rsidRDefault="00E4657A" w:rsidP="00E4657A">
      <w:pPr>
        <w:pStyle w:val="Paragraphedeliste"/>
        <w:numPr>
          <w:ilvl w:val="0"/>
          <w:numId w:val="1"/>
        </w:numPr>
        <w:jc w:val="both"/>
      </w:pPr>
      <w:r w:rsidRPr="00E4657A">
        <w:t>L'Accord sur les aspects des droits de propriété intellectuelle qui touchent au commerce (Accord sur les ADPIC), qui a été approuvé par tous les membres de l'OMC, offre un cadre reconnu pour les exceptions aux droits conférés (article 30) et pour d'autres utilisations sans l'autorisation du titulaire du droit (articles 31 et 31 bis). Cependant, les régimes de licences obligatoires mis en œuvre en vertu des articles 31 et 31 bis diffèrent considérablement d'une juridiction à l'autre. Il existe des variations entre les pays en matière d'octroi et d'application des licences obligatoires, de rémunération et d'exigences procédurales pour l'obtention de licences obligatoires.</w:t>
      </w:r>
    </w:p>
    <w:p w14:paraId="7647C0A1" w14:textId="77777777" w:rsidR="00E4657A" w:rsidRPr="00A25A37" w:rsidRDefault="00E4657A" w:rsidP="00E4657A">
      <w:pPr>
        <w:jc w:val="both"/>
        <w:rPr>
          <w:lang w:val="fr-FR"/>
        </w:rPr>
      </w:pPr>
    </w:p>
    <w:p w14:paraId="39B5E530" w14:textId="77777777" w:rsidR="00E4657A" w:rsidRPr="00E4657A" w:rsidRDefault="00E4657A" w:rsidP="00E4657A">
      <w:pPr>
        <w:pStyle w:val="Paragraphedeliste"/>
        <w:numPr>
          <w:ilvl w:val="0"/>
          <w:numId w:val="1"/>
        </w:numPr>
        <w:jc w:val="both"/>
      </w:pPr>
      <w:r w:rsidRPr="00E4657A">
        <w:t>Une meilleure reconnaissance d'un cadre mondial normalisé renforcerait la prévisibilité et l'équité.</w:t>
      </w:r>
    </w:p>
    <w:p w14:paraId="1226304B" w14:textId="77777777" w:rsidR="00E4657A" w:rsidRPr="00A25A37" w:rsidRDefault="00E4657A" w:rsidP="00E4657A">
      <w:pPr>
        <w:jc w:val="both"/>
        <w:rPr>
          <w:lang w:val="fr-FR"/>
        </w:rPr>
      </w:pPr>
    </w:p>
    <w:p w14:paraId="5E175628" w14:textId="77777777" w:rsidR="00E4657A" w:rsidRPr="00E4657A" w:rsidRDefault="00E4657A" w:rsidP="00E4657A">
      <w:pPr>
        <w:pStyle w:val="Paragraphedeliste"/>
        <w:numPr>
          <w:ilvl w:val="0"/>
          <w:numId w:val="1"/>
        </w:numPr>
        <w:jc w:val="both"/>
      </w:pPr>
      <w:r w:rsidRPr="00E4657A">
        <w:t>L'Accord sur les ADPIC exige que la partie qui demande une licence obligatoire tente d'abord d'obtenir une autorisation d'utilisation du titulaire du droit à des conditions raisonnables, bien que cette exigence puisse être levée en cas d'urgence nationale.</w:t>
      </w:r>
    </w:p>
    <w:p w14:paraId="40511D1D" w14:textId="77777777" w:rsidR="00E4657A" w:rsidRPr="00A25A37" w:rsidRDefault="00E4657A" w:rsidP="00E4657A">
      <w:pPr>
        <w:jc w:val="both"/>
        <w:rPr>
          <w:lang w:val="fr-FR"/>
        </w:rPr>
      </w:pPr>
    </w:p>
    <w:p w14:paraId="02D6C08C" w14:textId="77777777" w:rsidR="00E4657A" w:rsidRPr="00E4657A" w:rsidRDefault="00E4657A" w:rsidP="00E4657A">
      <w:pPr>
        <w:pStyle w:val="Paragraphedeliste"/>
        <w:numPr>
          <w:ilvl w:val="0"/>
          <w:numId w:val="1"/>
        </w:numPr>
        <w:jc w:val="both"/>
      </w:pPr>
      <w:r w:rsidRPr="00E4657A">
        <w:lastRenderedPageBreak/>
        <w:t>38 rapports ont été reçus des groupes nationaux et régionaux de l'</w:t>
      </w:r>
      <w:proofErr w:type="spellStart"/>
      <w:r w:rsidRPr="00E4657A">
        <w:t>AIPPI</w:t>
      </w:r>
      <w:proofErr w:type="spellEnd"/>
      <w:r w:rsidRPr="00E4657A">
        <w:t xml:space="preserve"> et de ses membres indépendants, fournissant des informations détaillées et une analyse des lois nationales et régionales relatives à cette résolution. Ces rapports ont été examinés par l'équipe du rapporteur général de l'</w:t>
      </w:r>
      <w:proofErr w:type="spellStart"/>
      <w:r w:rsidRPr="00E4657A">
        <w:t>AIPPI</w:t>
      </w:r>
      <w:proofErr w:type="spellEnd"/>
      <w:r w:rsidRPr="00E4657A">
        <w:t xml:space="preserve"> et synthétisés dans un rapport de synthèse (disponible à l'adresse </w:t>
      </w:r>
      <w:hyperlink r:id="rId7">
        <w:r w:rsidRPr="00E4657A">
          <w:rPr>
            <w:rStyle w:val="Lienhypertexte"/>
          </w:rPr>
          <w:t>www.aippi.org</w:t>
        </w:r>
      </w:hyperlink>
      <w:r w:rsidRPr="00E4657A">
        <w:t>).</w:t>
      </w:r>
    </w:p>
    <w:p w14:paraId="03A57AA1" w14:textId="77777777" w:rsidR="00E4657A" w:rsidRPr="00A25A37" w:rsidRDefault="00E4657A" w:rsidP="00E4657A">
      <w:pPr>
        <w:jc w:val="both"/>
        <w:rPr>
          <w:lang w:val="fr-FR"/>
        </w:rPr>
      </w:pPr>
    </w:p>
    <w:p w14:paraId="7E5E15B4" w14:textId="77777777" w:rsidR="00E4657A" w:rsidRPr="00E4657A" w:rsidRDefault="00E4657A" w:rsidP="00E4657A">
      <w:pPr>
        <w:pStyle w:val="Paragraphedeliste"/>
        <w:numPr>
          <w:ilvl w:val="0"/>
          <w:numId w:val="1"/>
        </w:numPr>
        <w:jc w:val="both"/>
      </w:pPr>
      <w:r w:rsidRPr="00E4657A">
        <w:t>Lors du Congrès mondial de l'</w:t>
      </w:r>
      <w:proofErr w:type="spellStart"/>
      <w:r w:rsidRPr="00E4657A">
        <w:t>AIPPI</w:t>
      </w:r>
      <w:proofErr w:type="spellEnd"/>
      <w:r w:rsidRPr="00E4657A">
        <w:t xml:space="preserve"> à Yokohama en 2025, le sujet de la présente résolution a été examiné plus en détail au sein d'un comité d'étude spécialisé, puis à nouveau en séance plénière, à la suite de quoi la présente résolution a été adoptée par le comité exécutif de l'</w:t>
      </w:r>
      <w:proofErr w:type="spellStart"/>
      <w:r w:rsidRPr="00E4657A">
        <w:t>AIPPI</w:t>
      </w:r>
      <w:proofErr w:type="spellEnd"/>
      <w:r w:rsidRPr="00E4657A">
        <w:t>.</w:t>
      </w:r>
    </w:p>
    <w:p w14:paraId="7A739975" w14:textId="77777777" w:rsidR="00E4657A" w:rsidRPr="00A25A37" w:rsidRDefault="00E4657A" w:rsidP="00E4657A">
      <w:pPr>
        <w:rPr>
          <w:lang w:val="fr-FR"/>
        </w:rPr>
      </w:pPr>
    </w:p>
    <w:p w14:paraId="3FD310F8" w14:textId="77777777" w:rsidR="00E4657A" w:rsidRPr="00E4657A" w:rsidRDefault="00E4657A" w:rsidP="00E4657A">
      <w:pPr>
        <w:rPr>
          <w:b/>
          <w:bCs/>
          <w:lang w:val="fr-FR"/>
        </w:rPr>
      </w:pPr>
      <w:r w:rsidRPr="00E4657A">
        <w:rPr>
          <w:b/>
          <w:bCs/>
          <w:lang w:val="fr-FR"/>
        </w:rPr>
        <w:t>L'</w:t>
      </w:r>
      <w:proofErr w:type="spellStart"/>
      <w:r w:rsidRPr="00E4657A">
        <w:rPr>
          <w:b/>
          <w:bCs/>
          <w:lang w:val="fr-FR"/>
        </w:rPr>
        <w:t>AIPPI</w:t>
      </w:r>
      <w:proofErr w:type="spellEnd"/>
      <w:r w:rsidRPr="00E4657A">
        <w:rPr>
          <w:b/>
          <w:bCs/>
          <w:lang w:val="fr-FR"/>
        </w:rPr>
        <w:t xml:space="preserve"> décide que :</w:t>
      </w:r>
    </w:p>
    <w:p w14:paraId="1F3ED07D" w14:textId="77777777" w:rsidR="00E4657A" w:rsidRPr="00A25A37" w:rsidRDefault="00E4657A" w:rsidP="00E4657A">
      <w:pPr>
        <w:rPr>
          <w:lang w:val="fr-FR"/>
        </w:rPr>
      </w:pPr>
    </w:p>
    <w:p w14:paraId="47D10F72" w14:textId="77777777" w:rsidR="00E4657A" w:rsidRPr="00A25A37" w:rsidRDefault="00E4657A" w:rsidP="00E4657A">
      <w:pPr>
        <w:pStyle w:val="Paragraphedeliste"/>
        <w:numPr>
          <w:ilvl w:val="0"/>
          <w:numId w:val="2"/>
        </w:numPr>
        <w:jc w:val="both"/>
      </w:pPr>
      <w:r w:rsidRPr="00A25A37">
        <w:t>Les dispositions de l'Accord sur les ADPIC relatives aux licences obligatoires prévues aux articles 31 et 31 bis restent de la plus haute importance et devraient servir de cadre à l'application de la présente résolution. En particulier, les droits des titulaires de brevets au titre de l'Accord sur les ADPIC devraient être garantis.</w:t>
      </w:r>
    </w:p>
    <w:p w14:paraId="3A4A5F8E" w14:textId="77777777" w:rsidR="00E4657A" w:rsidRPr="00A25A37" w:rsidRDefault="00E4657A" w:rsidP="00E4657A">
      <w:pPr>
        <w:pStyle w:val="Paragraphedeliste"/>
        <w:jc w:val="both"/>
      </w:pPr>
    </w:p>
    <w:p w14:paraId="5240ADF1" w14:textId="77777777" w:rsidR="00E4657A" w:rsidRPr="00A25A37" w:rsidRDefault="00E4657A" w:rsidP="00E4657A">
      <w:pPr>
        <w:pStyle w:val="Paragraphedeliste"/>
        <w:numPr>
          <w:ilvl w:val="0"/>
          <w:numId w:val="2"/>
        </w:numPr>
        <w:jc w:val="both"/>
      </w:pPr>
      <w:r w:rsidRPr="00A25A37">
        <w:t>Il est nécessaire de mettre en place un cadre harmonisé pour l'application des articles 31 et 31bis de l'Accord sur les ADPIC afin de renforcer la sécurité juridique et la prévisibilité. Toutefois, chaque licence obligatoire devrait être évaluée de manière indépendante par l'autorité compétente avant d'être accordée, au cas par cas, sur la base des faits, afin de déterminer si les critères d'octroi d'une licence obligatoire sont remplis.</w:t>
      </w:r>
    </w:p>
    <w:p w14:paraId="165DCAD9" w14:textId="77777777" w:rsidR="00E4657A" w:rsidRPr="00A25A37" w:rsidRDefault="00E4657A" w:rsidP="00E4657A">
      <w:pPr>
        <w:pStyle w:val="Paragraphedeliste"/>
        <w:jc w:val="both"/>
      </w:pPr>
    </w:p>
    <w:p w14:paraId="273BA792" w14:textId="43876FE1" w:rsidR="00E4657A" w:rsidRPr="00A25A37" w:rsidRDefault="00E4657A" w:rsidP="00E4657A">
      <w:pPr>
        <w:pStyle w:val="Paragraphedeliste"/>
        <w:numPr>
          <w:ilvl w:val="0"/>
          <w:numId w:val="2"/>
        </w:numPr>
        <w:jc w:val="both"/>
      </w:pPr>
      <w:r w:rsidRPr="00A25A37">
        <w:t xml:space="preserve">La licence obligatoire </w:t>
      </w:r>
      <w:r w:rsidR="00E4454D">
        <w:t>devrait</w:t>
      </w:r>
      <w:r w:rsidRPr="00A25A37">
        <w:t xml:space="preserve"> être considérée comme une mesure exceptionnelle, qui ne doit être utilisée qu'en cas d'intérêts supérieurs spécifiques. Le terme « intérêt supérieur », tel qu'il est utilisé dans la présente résolution, </w:t>
      </w:r>
      <w:r w:rsidR="00E4454D">
        <w:t>devrait</w:t>
      </w:r>
      <w:r w:rsidRPr="00A25A37">
        <w:t xml:space="preserve"> être compris comme désignant des situations où l</w:t>
      </w:r>
      <w:r w:rsidR="00E4454D">
        <w:t xml:space="preserve">es </w:t>
      </w:r>
      <w:r w:rsidRPr="00A25A37">
        <w:t>intérêt</w:t>
      </w:r>
      <w:r w:rsidR="00E4454D">
        <w:t>s</w:t>
      </w:r>
      <w:r w:rsidRPr="00A25A37">
        <w:t xml:space="preserve"> public</w:t>
      </w:r>
      <w:r w:rsidR="00E4454D">
        <w:t>s</w:t>
      </w:r>
      <w:r w:rsidRPr="00A25A37">
        <w:t xml:space="preserve"> – plutôt que l</w:t>
      </w:r>
      <w:r w:rsidR="00E4454D">
        <w:t xml:space="preserve">es </w:t>
      </w:r>
      <w:r w:rsidRPr="00A25A37">
        <w:t>intérêt</w:t>
      </w:r>
      <w:r w:rsidR="00E4454D">
        <w:t>s</w:t>
      </w:r>
      <w:r w:rsidRPr="00A25A37">
        <w:t xml:space="preserve"> privé</w:t>
      </w:r>
      <w:r w:rsidR="00E4454D">
        <w:t>s</w:t>
      </w:r>
      <w:r w:rsidRPr="00A25A37">
        <w:t xml:space="preserve"> – </w:t>
      </w:r>
      <w:r w:rsidR="00E4454D">
        <w:t>sont</w:t>
      </w:r>
      <w:r w:rsidRPr="00A25A37">
        <w:t xml:space="preserve"> en jeu, telles que les situations d'urgence nationale ou régionale ou d'autres circonstances d'extrême urgence. Il n'est pas nécessaire de faire de distinction entre différents domaines techniques lorsqu'il s'agit d'intérêts supérieurs.</w:t>
      </w:r>
    </w:p>
    <w:p w14:paraId="3698637B" w14:textId="77777777" w:rsidR="00E4657A" w:rsidRPr="00A25A37" w:rsidRDefault="00E4657A" w:rsidP="00E4657A">
      <w:pPr>
        <w:pStyle w:val="Paragraphedeliste"/>
        <w:jc w:val="both"/>
      </w:pPr>
    </w:p>
    <w:p w14:paraId="0F2D3E8D" w14:textId="77777777" w:rsidR="00E4657A" w:rsidRPr="00A25A37" w:rsidRDefault="00E4657A" w:rsidP="00E4657A">
      <w:pPr>
        <w:pStyle w:val="Paragraphedeliste"/>
        <w:numPr>
          <w:ilvl w:val="0"/>
          <w:numId w:val="2"/>
        </w:numPr>
        <w:jc w:val="both"/>
      </w:pPr>
      <w:r w:rsidRPr="00A25A37">
        <w:t>Les autres facteurs à prendre en considération dans une demande de licence obligatoire devraient inclure l'intérêt public à fournir l'accès à une invention pendant la période d'intérêt supérieur et la question de savoir si l'octroi de la licence obligatoire est raisonnablement nécessaire pour répondre à l'intérêt supérieur. Par exemple, la partie à laquelle la licence est accordée doit avoir la capacité et les moyens de fournir un approvisionnement adéquat afin de répondre à l'intérêt supérieur.</w:t>
      </w:r>
    </w:p>
    <w:p w14:paraId="55C56B08" w14:textId="77777777" w:rsidR="00E4657A" w:rsidRPr="00A25A37" w:rsidRDefault="00E4657A" w:rsidP="00E4657A">
      <w:pPr>
        <w:pStyle w:val="Paragraphedeliste"/>
        <w:jc w:val="both"/>
      </w:pPr>
    </w:p>
    <w:p w14:paraId="74421694" w14:textId="7590B522" w:rsidR="00E4657A" w:rsidRPr="00A25A37" w:rsidRDefault="00E4657A" w:rsidP="00E4657A">
      <w:pPr>
        <w:pStyle w:val="Paragraphedeliste"/>
        <w:numPr>
          <w:ilvl w:val="0"/>
          <w:numId w:val="2"/>
        </w:numPr>
        <w:jc w:val="both"/>
      </w:pPr>
      <w:r w:rsidRPr="00A25A37">
        <w:t xml:space="preserve">Les autorités chargées de l'octroi </w:t>
      </w:r>
      <w:r w:rsidR="004E0C23">
        <w:t>devraient</w:t>
      </w:r>
      <w:r w:rsidRPr="00A25A37">
        <w:t xml:space="preserve"> en outre évaluer l'impact potentiel sur l'innovation et l'investissement, ainsi que les droits du titulaire du brevet, par rapport à l'intérêt supérieur justifiant la licence obligatoire.</w:t>
      </w:r>
    </w:p>
    <w:p w14:paraId="2669254D" w14:textId="378BC561" w:rsidR="00E4657A" w:rsidRPr="00A25A37" w:rsidRDefault="00E4657A" w:rsidP="00E4657A">
      <w:pPr>
        <w:pStyle w:val="Paragraphedeliste"/>
        <w:numPr>
          <w:ilvl w:val="0"/>
          <w:numId w:val="2"/>
        </w:numPr>
        <w:jc w:val="both"/>
      </w:pPr>
      <w:r w:rsidRPr="00A25A37">
        <w:lastRenderedPageBreak/>
        <w:t xml:space="preserve">Les licences obligatoires ne devraient être disponibles que pour les brevets et les demandes de brevet pour lesquels </w:t>
      </w:r>
      <w:r w:rsidR="002417AF">
        <w:t>des mesures d’interdiction</w:t>
      </w:r>
      <w:r w:rsidRPr="00A25A37">
        <w:t xml:space="preserve"> </w:t>
      </w:r>
      <w:r w:rsidR="002417AF">
        <w:t>sont possibles</w:t>
      </w:r>
      <w:r w:rsidRPr="00A25A37">
        <w:t xml:space="preserve"> avant la délivrance. Les licences obligatoires devraient s'étendre à toutes les formes de prolongation de la durée des brevets, y compris les </w:t>
      </w:r>
      <w:r w:rsidR="004E0C23">
        <w:t>extension</w:t>
      </w:r>
      <w:r w:rsidR="002417AF">
        <w:t>s</w:t>
      </w:r>
      <w:r w:rsidR="004E0C23">
        <w:t xml:space="preserve"> de la durée du brevet</w:t>
      </w:r>
      <w:r w:rsidRPr="00A25A37">
        <w:t xml:space="preserve"> (PTE) et les certificats complémentaires de protection (CCP), et devraient également être disponibles pour les modèles d'utilité.</w:t>
      </w:r>
    </w:p>
    <w:p w14:paraId="2AC8C66D" w14:textId="77777777" w:rsidR="00E4657A" w:rsidRPr="00A25A37" w:rsidRDefault="00E4657A" w:rsidP="00E4657A">
      <w:pPr>
        <w:pStyle w:val="Paragraphedeliste"/>
        <w:jc w:val="both"/>
      </w:pPr>
    </w:p>
    <w:p w14:paraId="73711A10" w14:textId="77777777" w:rsidR="00E4657A" w:rsidRPr="00A25A37" w:rsidRDefault="00E4657A" w:rsidP="00E4657A">
      <w:pPr>
        <w:pStyle w:val="Paragraphedeliste"/>
        <w:numPr>
          <w:ilvl w:val="0"/>
          <w:numId w:val="2"/>
        </w:numPr>
        <w:jc w:val="both"/>
      </w:pPr>
      <w:r w:rsidRPr="00A25A37">
        <w:t>Les licences obligatoires devraient toujours être non exclusives et généralement non transférables. La portée d'une licence obligatoire devrait être clairement définie, par exemple en ce qui concerne la durée (c'est-à-dire l'existence de l'intérêt supérieur), le territoire, les produits/procédés/technologies, les quantités et les utilisations spécifiques de l'invention brevetée.</w:t>
      </w:r>
    </w:p>
    <w:p w14:paraId="5501C92E" w14:textId="77777777" w:rsidR="00E4657A" w:rsidRPr="00A25A37" w:rsidRDefault="00E4657A" w:rsidP="00E4657A">
      <w:pPr>
        <w:pStyle w:val="Paragraphedeliste"/>
        <w:jc w:val="both"/>
      </w:pPr>
    </w:p>
    <w:p w14:paraId="408FBCCF" w14:textId="77777777" w:rsidR="00E4657A" w:rsidRPr="00A25A37" w:rsidRDefault="00E4657A" w:rsidP="00E4657A">
      <w:pPr>
        <w:pStyle w:val="Paragraphedeliste"/>
        <w:numPr>
          <w:ilvl w:val="0"/>
          <w:numId w:val="2"/>
        </w:numPr>
        <w:jc w:val="both"/>
      </w:pPr>
      <w:r w:rsidRPr="00A25A37">
        <w:t>Les licences obligatoires ne devraient être applicables que sur le territoire où elles sont accordées, sans préjudice du mécanisme transfrontalier spécifique autorisé en vertu de l'article 31bis de l'Accord sur les ADPIC.</w:t>
      </w:r>
    </w:p>
    <w:p w14:paraId="654B1588" w14:textId="77777777" w:rsidR="00E4657A" w:rsidRPr="00A25A37" w:rsidRDefault="00E4657A" w:rsidP="00E4657A">
      <w:pPr>
        <w:pStyle w:val="Paragraphedeliste"/>
        <w:jc w:val="both"/>
      </w:pPr>
    </w:p>
    <w:p w14:paraId="0C85F56D" w14:textId="77777777" w:rsidR="00E4657A" w:rsidRPr="00A25A37" w:rsidRDefault="00E4657A" w:rsidP="00E4657A">
      <w:pPr>
        <w:pStyle w:val="Paragraphedeliste"/>
        <w:numPr>
          <w:ilvl w:val="0"/>
          <w:numId w:val="2"/>
        </w:numPr>
        <w:jc w:val="both"/>
      </w:pPr>
      <w:r w:rsidRPr="00A25A37">
        <w:t>Il incombe au demandeur de la licence obligatoire de prouver que les conditions d'octroi d'une licence obligatoire sont remplies.</w:t>
      </w:r>
    </w:p>
    <w:p w14:paraId="0A25031C" w14:textId="77777777" w:rsidR="00E4657A" w:rsidRPr="00A25A37" w:rsidRDefault="00E4657A" w:rsidP="00E4657A">
      <w:pPr>
        <w:pStyle w:val="Paragraphedeliste"/>
        <w:jc w:val="both"/>
      </w:pPr>
    </w:p>
    <w:p w14:paraId="48F4F89A" w14:textId="77777777" w:rsidR="00E4657A" w:rsidRPr="00A25A37" w:rsidRDefault="00E4657A" w:rsidP="00E4657A">
      <w:pPr>
        <w:pStyle w:val="Paragraphedeliste"/>
        <w:numPr>
          <w:ilvl w:val="0"/>
          <w:numId w:val="2"/>
        </w:numPr>
        <w:jc w:val="both"/>
      </w:pPr>
      <w:r w:rsidRPr="00A25A37">
        <w:t xml:space="preserve">Avant de demander une licence obligatoire – ou dans le cas d'une licence accordée par les pouvoirs publics –, le demandeur ou, le cas échéant, les pouvoirs publics devraient être tenus de </w:t>
      </w:r>
      <w:proofErr w:type="gramStart"/>
      <w:r w:rsidRPr="00A25A37">
        <w:t>faire</w:t>
      </w:r>
      <w:proofErr w:type="gramEnd"/>
      <w:r w:rsidRPr="00A25A37">
        <w:t xml:space="preserve"> des efforts de bonne foi pendant une période raisonnable pour obtenir une licence volontaire à des conditions commerciales raisonnables.</w:t>
      </w:r>
    </w:p>
    <w:p w14:paraId="78F204F5" w14:textId="77777777" w:rsidR="00E4657A" w:rsidRPr="00A25A37" w:rsidRDefault="00E4657A" w:rsidP="00E4657A">
      <w:pPr>
        <w:pStyle w:val="Paragraphedeliste"/>
        <w:jc w:val="both"/>
      </w:pPr>
    </w:p>
    <w:p w14:paraId="77B5231C" w14:textId="17CDE349" w:rsidR="00E4657A" w:rsidRPr="00A25A37" w:rsidRDefault="00E4657A" w:rsidP="00E4657A">
      <w:pPr>
        <w:pStyle w:val="Paragraphedeliste"/>
        <w:numPr>
          <w:ilvl w:val="0"/>
          <w:numId w:val="2"/>
        </w:numPr>
        <w:jc w:val="both"/>
      </w:pPr>
      <w:r w:rsidRPr="00A25A37">
        <w:t xml:space="preserve">Le titulaire du brevet </w:t>
      </w:r>
      <w:r w:rsidR="004E0C23">
        <w:t>devrait</w:t>
      </w:r>
      <w:r w:rsidRPr="00A25A37">
        <w:t xml:space="preserve"> être informé et avoir la possibilité d'être entendu par l'autorité compétente avant l'octroi d'une licence obligatoire.</w:t>
      </w:r>
    </w:p>
    <w:p w14:paraId="7B10EFF7" w14:textId="77777777" w:rsidR="00E4657A" w:rsidRPr="00A25A37" w:rsidRDefault="00E4657A" w:rsidP="00E4657A">
      <w:pPr>
        <w:pStyle w:val="Paragraphedeliste"/>
        <w:jc w:val="both"/>
      </w:pPr>
    </w:p>
    <w:p w14:paraId="53D2CE3D" w14:textId="0ED0399A" w:rsidR="00E4657A" w:rsidRPr="00A25A37" w:rsidRDefault="00E4657A" w:rsidP="00E4657A">
      <w:pPr>
        <w:pStyle w:val="Paragraphedeliste"/>
        <w:numPr>
          <w:ilvl w:val="0"/>
          <w:numId w:val="2"/>
        </w:numPr>
        <w:jc w:val="both"/>
      </w:pPr>
      <w:r w:rsidRPr="00A25A37">
        <w:t xml:space="preserve">Le titulaire du brevet a droit à une compensation raisonnable. La loi ne </w:t>
      </w:r>
      <w:r w:rsidR="004E0C23">
        <w:t>devrait</w:t>
      </w:r>
      <w:r w:rsidRPr="00A25A37">
        <w:t xml:space="preserve"> pas fixer de plafond à la compensation à laquelle le titulaire du brevet a droit. L'indemnisation devrait être déterminée au cas par cas par l'autorité compétente, en tenant compte de tous les facteurs pertinents (par exemple, la valeur du brevet, les taux de redevance moyens dans le secteur et l'indemnisation pour perte d'exclusivité), étant entendu que l'indemnisation due au titre d'une licence obligatoire pour une demande de brevet serait subordonnée à l'octroi de la licence. L'indemnisation devrait être soumise à l'examen de l'autorité compétente afin de garantir qu'elle reste appropriée pendant toute la durée de la licence obligatoire.</w:t>
      </w:r>
    </w:p>
    <w:p w14:paraId="593EEF92" w14:textId="77777777" w:rsidR="00E4657A" w:rsidRPr="00A25A37" w:rsidRDefault="00E4657A" w:rsidP="00E4657A">
      <w:pPr>
        <w:pStyle w:val="Paragraphedeliste"/>
        <w:jc w:val="both"/>
      </w:pPr>
    </w:p>
    <w:p w14:paraId="5E79A614" w14:textId="5BDA240B" w:rsidR="00E4657A" w:rsidRPr="00A25A37" w:rsidRDefault="00E4657A" w:rsidP="00E4657A">
      <w:pPr>
        <w:pStyle w:val="Paragraphedeliste"/>
        <w:numPr>
          <w:ilvl w:val="0"/>
          <w:numId w:val="2"/>
        </w:numPr>
        <w:jc w:val="both"/>
      </w:pPr>
      <w:r w:rsidRPr="00A25A37">
        <w:t xml:space="preserve">Une licence obligatoire devrait pouvoir être résiliée en tout ou en partie par une autorité compétente (qui peut être ou non la même que l'autorité qui l'a accordée) de sa propre initiative ou à la demande du titulaire du brevet en cas de violation des conditions de la licence obligatoire (y compris le non-paiement des redevances). Des dommages-intérêts devraient être accordés au titulaire du brevet en cas de violation </w:t>
      </w:r>
      <w:r w:rsidRPr="00A25A37">
        <w:lastRenderedPageBreak/>
        <w:t xml:space="preserve">des conditions de la licence obligatoire, et des amendes </w:t>
      </w:r>
      <w:r w:rsidR="004E0C23">
        <w:t>devraient</w:t>
      </w:r>
      <w:r w:rsidRPr="00A25A37">
        <w:t xml:space="preserve"> également être infligées à la partie en infraction.</w:t>
      </w:r>
    </w:p>
    <w:p w14:paraId="7BE538A2" w14:textId="77777777" w:rsidR="00E4657A" w:rsidRPr="00A25A37" w:rsidRDefault="00E4657A" w:rsidP="00E4657A">
      <w:pPr>
        <w:pStyle w:val="Paragraphedeliste"/>
        <w:jc w:val="both"/>
      </w:pPr>
    </w:p>
    <w:p w14:paraId="23BAAA38" w14:textId="77777777" w:rsidR="00E4657A" w:rsidRPr="00A25A37" w:rsidRDefault="00E4657A" w:rsidP="00E4657A">
      <w:pPr>
        <w:pStyle w:val="Paragraphedeliste"/>
        <w:numPr>
          <w:ilvl w:val="0"/>
          <w:numId w:val="2"/>
        </w:numPr>
        <w:jc w:val="both"/>
      </w:pPr>
      <w:r w:rsidRPr="00A25A37">
        <w:t>La licence obligatoire devrait être résiliée lorsque l'intérêt supérieur a cessé d'exister.</w:t>
      </w:r>
    </w:p>
    <w:p w14:paraId="4B20FA7D" w14:textId="77777777" w:rsidR="00E4657A" w:rsidRPr="00A25A37" w:rsidRDefault="00E4657A" w:rsidP="00E4657A">
      <w:pPr>
        <w:pStyle w:val="Paragraphedeliste"/>
        <w:jc w:val="both"/>
      </w:pPr>
    </w:p>
    <w:p w14:paraId="4B366693" w14:textId="77777777" w:rsidR="00E4657A" w:rsidRPr="00A25A37" w:rsidRDefault="00E4657A" w:rsidP="00E4657A">
      <w:pPr>
        <w:pStyle w:val="Paragraphedeliste"/>
        <w:numPr>
          <w:ilvl w:val="0"/>
          <w:numId w:val="2"/>
        </w:numPr>
        <w:jc w:val="both"/>
      </w:pPr>
      <w:r w:rsidRPr="00A25A37">
        <w:t>Le titulaire du brevet devrait avoir le droit de vérifier l'utilisation et le respect des conditions de la licence obligatoire. Le titulaire de la licence obligatoire devrait être tenu de fournir au titulaire du brevet des rapports périodiques sur l'utilisation de la licence, accompagnés d'informations suffisantes pour permettre au titulaire du brevet de vérifier l'utilisation et le respect des conditions de la licence obligatoire. L'autorité qui accorde la licence peut veiller à ce que les processus de rapport et de contrôle soient menés conformément aux principes de confidentialité et d'impartialité.</w:t>
      </w:r>
    </w:p>
    <w:p w14:paraId="0109F517" w14:textId="77777777" w:rsidR="00E4657A" w:rsidRPr="00A25A37" w:rsidRDefault="00E4657A" w:rsidP="00E4657A">
      <w:pPr>
        <w:pStyle w:val="Paragraphedeliste"/>
        <w:jc w:val="both"/>
      </w:pPr>
    </w:p>
    <w:p w14:paraId="760C251B" w14:textId="77777777" w:rsidR="00E4657A" w:rsidRPr="00A25A37" w:rsidRDefault="00E4657A" w:rsidP="00E4657A">
      <w:pPr>
        <w:pStyle w:val="Paragraphedeliste"/>
        <w:numPr>
          <w:ilvl w:val="0"/>
          <w:numId w:val="2"/>
        </w:numPr>
        <w:jc w:val="both"/>
      </w:pPr>
      <w:r w:rsidRPr="00A25A37">
        <w:t>La licence obligatoire ne s'applique qu'aux droits de brevet tels que définis au paragraphe 6. Le titulaire du brevet ne devrait pas être tenu de fournir au titulaire de la licence obligatoire des secrets commerciaux, des informations confidentielles, d'autres savoir-faire secrets ou une assistance technique en rapport avec la licence obligatoire.</w:t>
      </w:r>
    </w:p>
    <w:p w14:paraId="432E5D46" w14:textId="77777777" w:rsidR="002D3DE4" w:rsidRDefault="002D3DE4"/>
    <w:sectPr w:rsidR="002D3DE4" w:rsidSect="00242830">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0AB3C" w14:textId="77777777" w:rsidR="00B03248" w:rsidRDefault="00B03248" w:rsidP="00E4657A">
      <w:r>
        <w:separator/>
      </w:r>
    </w:p>
  </w:endnote>
  <w:endnote w:type="continuationSeparator" w:id="0">
    <w:p w14:paraId="6A1667F3" w14:textId="77777777" w:rsidR="00B03248" w:rsidRDefault="00B03248" w:rsidP="00E4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519C1" w14:textId="77777777" w:rsidR="00B03248" w:rsidRDefault="00B03248" w:rsidP="00E4657A">
      <w:r>
        <w:separator/>
      </w:r>
    </w:p>
  </w:footnote>
  <w:footnote w:type="continuationSeparator" w:id="0">
    <w:p w14:paraId="5C06CD45" w14:textId="77777777" w:rsidR="00B03248" w:rsidRDefault="00B03248" w:rsidP="00E46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BCA04" w14:textId="1AF55327" w:rsidR="00E4657A" w:rsidRDefault="00E4657A">
    <w:pPr>
      <w:pStyle w:val="En-tte"/>
    </w:pPr>
    <w:r w:rsidRPr="00A25A37">
      <w:drawing>
        <wp:inline distT="0" distB="0" distL="0" distR="0" wp14:anchorId="5083AD06" wp14:editId="0808D490">
          <wp:extent cx="5756910" cy="945954"/>
          <wp:effectExtent l="0" t="0" r="0" b="0"/>
          <wp:docPr id="1426819686" name="Image 1" descr="Une image contenant texte, Police, logo,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19686" name="Image 1" descr="Une image contenant texte, Police, logo, blanc&#10;&#10;Le contenu généré par l’IA peut être incorrect."/>
                  <pic:cNvPicPr/>
                </pic:nvPicPr>
                <pic:blipFill>
                  <a:blip r:embed="rId1"/>
                  <a:stretch>
                    <a:fillRect/>
                  </a:stretch>
                </pic:blipFill>
                <pic:spPr>
                  <a:xfrm>
                    <a:off x="0" y="0"/>
                    <a:ext cx="5756910" cy="945954"/>
                  </a:xfrm>
                  <a:prstGeom prst="rect">
                    <a:avLst/>
                  </a:prstGeom>
                </pic:spPr>
              </pic:pic>
            </a:graphicData>
          </a:graphic>
        </wp:inline>
      </w:drawing>
    </w:r>
  </w:p>
  <w:p w14:paraId="0CDA9337" w14:textId="77777777" w:rsidR="00E4657A" w:rsidRDefault="00E4657A">
    <w:pPr>
      <w:pStyle w:val="En-tte"/>
    </w:pPr>
  </w:p>
  <w:p w14:paraId="5167D8C4" w14:textId="77777777" w:rsidR="00E4657A" w:rsidRDefault="00E465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0205"/>
    <w:multiLevelType w:val="hybridMultilevel"/>
    <w:tmpl w:val="A7920710"/>
    <w:lvl w:ilvl="0" w:tplc="4C163E62">
      <w:start w:val="1"/>
      <w:numFmt w:val="decimal"/>
      <w:lvlText w:val="%1)"/>
      <w:lvlJc w:val="left"/>
      <w:pPr>
        <w:ind w:left="720" w:hanging="360"/>
      </w:pPr>
      <w:rPr>
        <w:rFonts w:asciiTheme="minorHAnsi" w:eastAsia="Arial" w:hAnsiTheme="minorHAnsi" w:cstheme="minorHAnsi" w:hint="default"/>
        <w:b w:val="0"/>
        <w:bCs w:val="0"/>
        <w:i w:val="0"/>
        <w:iCs w:val="0"/>
        <w:spacing w:val="-4"/>
        <w:w w:val="87"/>
        <w:sz w:val="24"/>
        <w:szCs w:val="24"/>
        <w:lang w:val="en-US" w:eastAsia="en-US"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466928"/>
    <w:multiLevelType w:val="hybridMultilevel"/>
    <w:tmpl w:val="A7920710"/>
    <w:lvl w:ilvl="0" w:tplc="FFFFFFFF">
      <w:start w:val="1"/>
      <w:numFmt w:val="decimal"/>
      <w:lvlText w:val="%1)"/>
      <w:lvlJc w:val="left"/>
      <w:pPr>
        <w:ind w:left="720" w:hanging="360"/>
      </w:pPr>
      <w:rPr>
        <w:rFonts w:asciiTheme="minorHAnsi" w:eastAsia="Arial" w:hAnsiTheme="minorHAnsi" w:cstheme="minorHAnsi" w:hint="default"/>
        <w:b w:val="0"/>
        <w:bCs w:val="0"/>
        <w:i w:val="0"/>
        <w:iCs w:val="0"/>
        <w:spacing w:val="-4"/>
        <w:w w:val="87"/>
        <w:sz w:val="24"/>
        <w:szCs w:val="24"/>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5022955">
    <w:abstractNumId w:val="0"/>
  </w:num>
  <w:num w:numId="2" w16cid:durableId="1687514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7A"/>
    <w:rsid w:val="00022751"/>
    <w:rsid w:val="002417AF"/>
    <w:rsid w:val="00242830"/>
    <w:rsid w:val="002D3DE4"/>
    <w:rsid w:val="004E0C23"/>
    <w:rsid w:val="00530C00"/>
    <w:rsid w:val="00927A0D"/>
    <w:rsid w:val="00A2186E"/>
    <w:rsid w:val="00B03248"/>
    <w:rsid w:val="00C67ACE"/>
    <w:rsid w:val="00E4454D"/>
    <w:rsid w:val="00E4657A"/>
    <w:rsid w:val="00FA4B40"/>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AE74F7A"/>
  <w15:chartTrackingRefBased/>
  <w15:docId w15:val="{DC53AC07-1F06-9740-97AF-EBC9458D3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E4657A"/>
    <w:pPr>
      <w:widowControl w:val="0"/>
      <w:autoSpaceDE w:val="0"/>
      <w:autoSpaceDN w:val="0"/>
    </w:pPr>
    <w:rPr>
      <w:rFonts w:ascii="Arial" w:eastAsia="Arial" w:hAnsi="Arial" w:cs="Arial"/>
      <w:kern w:val="0"/>
      <w:sz w:val="22"/>
      <w:szCs w:val="22"/>
      <w14:ligatures w14:val="none"/>
    </w:rPr>
  </w:style>
  <w:style w:type="paragraph" w:styleId="Titre1">
    <w:name w:val="heading 1"/>
    <w:basedOn w:val="Normal"/>
    <w:next w:val="Normal"/>
    <w:link w:val="Titre1Car"/>
    <w:uiPriority w:val="9"/>
    <w:qFormat/>
    <w:rsid w:val="00E4657A"/>
    <w:pPr>
      <w:keepNext/>
      <w:keepLines/>
      <w:widowControl/>
      <w:autoSpaceDE/>
      <w:autoSpaceDN/>
      <w:spacing w:before="360" w:after="80"/>
      <w:outlineLvl w:val="0"/>
    </w:pPr>
    <w:rPr>
      <w:rFonts w:asciiTheme="majorHAnsi" w:eastAsiaTheme="majorEastAsia" w:hAnsiTheme="majorHAnsi" w:cstheme="majorBidi"/>
      <w:color w:val="2F5496"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E4657A"/>
    <w:pPr>
      <w:keepNext/>
      <w:keepLines/>
      <w:widowControl/>
      <w:autoSpaceDE/>
      <w:autoSpaceDN/>
      <w:spacing w:before="160" w:after="80"/>
      <w:outlineLvl w:val="1"/>
    </w:pPr>
    <w:rPr>
      <w:rFonts w:asciiTheme="majorHAnsi" w:eastAsiaTheme="majorEastAsia" w:hAnsiTheme="majorHAnsi" w:cstheme="majorBidi"/>
      <w:color w:val="2F5496"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E4657A"/>
    <w:pPr>
      <w:keepNext/>
      <w:keepLines/>
      <w:widowControl/>
      <w:autoSpaceDE/>
      <w:autoSpaceDN/>
      <w:spacing w:before="160" w:after="80"/>
      <w:outlineLvl w:val="2"/>
    </w:pPr>
    <w:rPr>
      <w:rFonts w:asciiTheme="minorHAnsi" w:eastAsiaTheme="majorEastAsia" w:hAnsiTheme="minorHAnsi" w:cstheme="majorBidi"/>
      <w:color w:val="2F5496"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E4657A"/>
    <w:pPr>
      <w:keepNext/>
      <w:keepLines/>
      <w:widowControl/>
      <w:autoSpaceDE/>
      <w:autoSpaceDN/>
      <w:spacing w:before="80" w:after="40"/>
      <w:outlineLvl w:val="3"/>
    </w:pPr>
    <w:rPr>
      <w:rFonts w:asciiTheme="minorHAnsi" w:eastAsiaTheme="majorEastAsia" w:hAnsiTheme="minorHAnsi" w:cstheme="majorBidi"/>
      <w:i/>
      <w:iCs/>
      <w:color w:val="2F5496" w:themeColor="accent1" w:themeShade="BF"/>
      <w:kern w:val="2"/>
      <w:sz w:val="24"/>
      <w:szCs w:val="24"/>
      <w:lang w:val="fr-FR"/>
      <w14:ligatures w14:val="standardContextual"/>
    </w:rPr>
  </w:style>
  <w:style w:type="paragraph" w:styleId="Titre5">
    <w:name w:val="heading 5"/>
    <w:basedOn w:val="Normal"/>
    <w:next w:val="Normal"/>
    <w:link w:val="Titre5Car"/>
    <w:uiPriority w:val="9"/>
    <w:semiHidden/>
    <w:unhideWhenUsed/>
    <w:qFormat/>
    <w:rsid w:val="00E4657A"/>
    <w:pPr>
      <w:keepNext/>
      <w:keepLines/>
      <w:widowControl/>
      <w:autoSpaceDE/>
      <w:autoSpaceDN/>
      <w:spacing w:before="80" w:after="40"/>
      <w:outlineLvl w:val="4"/>
    </w:pPr>
    <w:rPr>
      <w:rFonts w:asciiTheme="minorHAnsi" w:eastAsiaTheme="majorEastAsia" w:hAnsiTheme="minorHAnsi" w:cstheme="majorBidi"/>
      <w:color w:val="2F5496" w:themeColor="accent1" w:themeShade="BF"/>
      <w:kern w:val="2"/>
      <w:sz w:val="24"/>
      <w:szCs w:val="24"/>
      <w:lang w:val="fr-FR"/>
      <w14:ligatures w14:val="standardContextual"/>
    </w:rPr>
  </w:style>
  <w:style w:type="paragraph" w:styleId="Titre6">
    <w:name w:val="heading 6"/>
    <w:basedOn w:val="Normal"/>
    <w:next w:val="Normal"/>
    <w:link w:val="Titre6Car"/>
    <w:uiPriority w:val="9"/>
    <w:semiHidden/>
    <w:unhideWhenUsed/>
    <w:qFormat/>
    <w:rsid w:val="00E4657A"/>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lang w:val="fr-FR"/>
      <w14:ligatures w14:val="standardContextual"/>
    </w:rPr>
  </w:style>
  <w:style w:type="paragraph" w:styleId="Titre7">
    <w:name w:val="heading 7"/>
    <w:basedOn w:val="Normal"/>
    <w:next w:val="Normal"/>
    <w:link w:val="Titre7Car"/>
    <w:uiPriority w:val="9"/>
    <w:semiHidden/>
    <w:unhideWhenUsed/>
    <w:qFormat/>
    <w:rsid w:val="00E4657A"/>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lang w:val="fr-FR"/>
      <w14:ligatures w14:val="standardContextual"/>
    </w:rPr>
  </w:style>
  <w:style w:type="paragraph" w:styleId="Titre8">
    <w:name w:val="heading 8"/>
    <w:basedOn w:val="Normal"/>
    <w:next w:val="Normal"/>
    <w:link w:val="Titre8Car"/>
    <w:uiPriority w:val="9"/>
    <w:semiHidden/>
    <w:unhideWhenUsed/>
    <w:qFormat/>
    <w:rsid w:val="00E4657A"/>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lang w:val="fr-FR"/>
      <w14:ligatures w14:val="standardContextual"/>
    </w:rPr>
  </w:style>
  <w:style w:type="paragraph" w:styleId="Titre9">
    <w:name w:val="heading 9"/>
    <w:basedOn w:val="Normal"/>
    <w:next w:val="Normal"/>
    <w:link w:val="Titre9Car"/>
    <w:uiPriority w:val="9"/>
    <w:semiHidden/>
    <w:unhideWhenUsed/>
    <w:qFormat/>
    <w:rsid w:val="00E4657A"/>
    <w:pPr>
      <w:keepNext/>
      <w:keepLines/>
      <w:widowControl/>
      <w:autoSpaceDE/>
      <w:autoSpaceDN/>
      <w:outlineLvl w:val="8"/>
    </w:pPr>
    <w:rPr>
      <w:rFonts w:asciiTheme="minorHAnsi" w:eastAsiaTheme="majorEastAsia" w:hAnsiTheme="minorHAnsi" w:cstheme="majorBidi"/>
      <w:color w:val="272727" w:themeColor="text1" w:themeTint="D8"/>
      <w:kern w:val="2"/>
      <w:sz w:val="24"/>
      <w:szCs w:val="24"/>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657A"/>
    <w:rPr>
      <w:rFonts w:asciiTheme="majorHAnsi" w:eastAsiaTheme="majorEastAsia" w:hAnsiTheme="majorHAnsi" w:cstheme="majorBidi"/>
      <w:color w:val="2F5496" w:themeColor="accent1" w:themeShade="BF"/>
      <w:sz w:val="40"/>
      <w:szCs w:val="40"/>
      <w:lang w:val="fr-FR"/>
    </w:rPr>
  </w:style>
  <w:style w:type="character" w:customStyle="1" w:styleId="Titre2Car">
    <w:name w:val="Titre 2 Car"/>
    <w:basedOn w:val="Policepardfaut"/>
    <w:link w:val="Titre2"/>
    <w:uiPriority w:val="9"/>
    <w:semiHidden/>
    <w:rsid w:val="00E4657A"/>
    <w:rPr>
      <w:rFonts w:asciiTheme="majorHAnsi" w:eastAsiaTheme="majorEastAsia" w:hAnsiTheme="majorHAnsi" w:cstheme="majorBidi"/>
      <w:color w:val="2F5496" w:themeColor="accent1" w:themeShade="BF"/>
      <w:sz w:val="32"/>
      <w:szCs w:val="32"/>
      <w:lang w:val="fr-FR"/>
    </w:rPr>
  </w:style>
  <w:style w:type="character" w:customStyle="1" w:styleId="Titre3Car">
    <w:name w:val="Titre 3 Car"/>
    <w:basedOn w:val="Policepardfaut"/>
    <w:link w:val="Titre3"/>
    <w:uiPriority w:val="9"/>
    <w:semiHidden/>
    <w:rsid w:val="00E4657A"/>
    <w:rPr>
      <w:rFonts w:eastAsiaTheme="majorEastAsia" w:cstheme="majorBidi"/>
      <w:color w:val="2F5496" w:themeColor="accent1" w:themeShade="BF"/>
      <w:sz w:val="28"/>
      <w:szCs w:val="28"/>
      <w:lang w:val="fr-FR"/>
    </w:rPr>
  </w:style>
  <w:style w:type="character" w:customStyle="1" w:styleId="Titre4Car">
    <w:name w:val="Titre 4 Car"/>
    <w:basedOn w:val="Policepardfaut"/>
    <w:link w:val="Titre4"/>
    <w:uiPriority w:val="9"/>
    <w:semiHidden/>
    <w:rsid w:val="00E4657A"/>
    <w:rPr>
      <w:rFonts w:eastAsiaTheme="majorEastAsia" w:cstheme="majorBidi"/>
      <w:i/>
      <w:iCs/>
      <w:color w:val="2F5496" w:themeColor="accent1" w:themeShade="BF"/>
      <w:lang w:val="fr-FR"/>
    </w:rPr>
  </w:style>
  <w:style w:type="character" w:customStyle="1" w:styleId="Titre5Car">
    <w:name w:val="Titre 5 Car"/>
    <w:basedOn w:val="Policepardfaut"/>
    <w:link w:val="Titre5"/>
    <w:uiPriority w:val="9"/>
    <w:semiHidden/>
    <w:rsid w:val="00E4657A"/>
    <w:rPr>
      <w:rFonts w:eastAsiaTheme="majorEastAsia" w:cstheme="majorBidi"/>
      <w:color w:val="2F5496" w:themeColor="accent1" w:themeShade="BF"/>
      <w:lang w:val="fr-FR"/>
    </w:rPr>
  </w:style>
  <w:style w:type="character" w:customStyle="1" w:styleId="Titre6Car">
    <w:name w:val="Titre 6 Car"/>
    <w:basedOn w:val="Policepardfaut"/>
    <w:link w:val="Titre6"/>
    <w:uiPriority w:val="9"/>
    <w:semiHidden/>
    <w:rsid w:val="00E4657A"/>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E4657A"/>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E4657A"/>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E4657A"/>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E4657A"/>
    <w:pPr>
      <w:widowControl/>
      <w:autoSpaceDE/>
      <w:autoSpaceDN/>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E4657A"/>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E4657A"/>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E4657A"/>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E4657A"/>
    <w:pPr>
      <w:widowControl/>
      <w:autoSpaceDE/>
      <w:autoSpaceDN/>
      <w:spacing w:before="160" w:after="160"/>
      <w:jc w:val="center"/>
    </w:pPr>
    <w:rPr>
      <w:rFonts w:asciiTheme="minorHAnsi" w:eastAsiaTheme="minorEastAsia" w:hAnsiTheme="minorHAnsi" w:cstheme="minorBidi"/>
      <w:i/>
      <w:iCs/>
      <w:color w:val="404040" w:themeColor="text1" w:themeTint="BF"/>
      <w:kern w:val="2"/>
      <w:sz w:val="24"/>
      <w:szCs w:val="24"/>
      <w:lang w:val="fr-FR"/>
      <w14:ligatures w14:val="standardContextual"/>
    </w:rPr>
  </w:style>
  <w:style w:type="character" w:customStyle="1" w:styleId="CitationCar">
    <w:name w:val="Citation Car"/>
    <w:basedOn w:val="Policepardfaut"/>
    <w:link w:val="Citation"/>
    <w:uiPriority w:val="29"/>
    <w:rsid w:val="00E4657A"/>
    <w:rPr>
      <w:i/>
      <w:iCs/>
      <w:color w:val="404040" w:themeColor="text1" w:themeTint="BF"/>
      <w:lang w:val="fr-FR"/>
    </w:rPr>
  </w:style>
  <w:style w:type="paragraph" w:styleId="Paragraphedeliste">
    <w:name w:val="List Paragraph"/>
    <w:basedOn w:val="Normal"/>
    <w:uiPriority w:val="34"/>
    <w:qFormat/>
    <w:rsid w:val="00E4657A"/>
    <w:pPr>
      <w:widowControl/>
      <w:autoSpaceDE/>
      <w:autoSpaceDN/>
      <w:ind w:left="720"/>
      <w:contextualSpacing/>
    </w:pPr>
    <w:rPr>
      <w:rFonts w:asciiTheme="minorHAnsi" w:eastAsiaTheme="minorEastAsia" w:hAnsiTheme="minorHAnsi" w:cstheme="minorBidi"/>
      <w:kern w:val="2"/>
      <w:sz w:val="24"/>
      <w:szCs w:val="24"/>
      <w:lang w:val="fr-FR"/>
      <w14:ligatures w14:val="standardContextual"/>
    </w:rPr>
  </w:style>
  <w:style w:type="character" w:styleId="Accentuationintense">
    <w:name w:val="Intense Emphasis"/>
    <w:basedOn w:val="Policepardfaut"/>
    <w:uiPriority w:val="21"/>
    <w:qFormat/>
    <w:rsid w:val="00E4657A"/>
    <w:rPr>
      <w:i/>
      <w:iCs/>
      <w:color w:val="2F5496" w:themeColor="accent1" w:themeShade="BF"/>
    </w:rPr>
  </w:style>
  <w:style w:type="paragraph" w:styleId="Citationintense">
    <w:name w:val="Intense Quote"/>
    <w:basedOn w:val="Normal"/>
    <w:next w:val="Normal"/>
    <w:link w:val="CitationintenseCar"/>
    <w:uiPriority w:val="30"/>
    <w:qFormat/>
    <w:rsid w:val="00E4657A"/>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4"/>
      <w:szCs w:val="24"/>
      <w:lang w:val="fr-FR"/>
      <w14:ligatures w14:val="standardContextual"/>
    </w:rPr>
  </w:style>
  <w:style w:type="character" w:customStyle="1" w:styleId="CitationintenseCar">
    <w:name w:val="Citation intense Car"/>
    <w:basedOn w:val="Policepardfaut"/>
    <w:link w:val="Citationintense"/>
    <w:uiPriority w:val="30"/>
    <w:rsid w:val="00E4657A"/>
    <w:rPr>
      <w:i/>
      <w:iCs/>
      <w:color w:val="2F5496" w:themeColor="accent1" w:themeShade="BF"/>
      <w:lang w:val="fr-FR"/>
    </w:rPr>
  </w:style>
  <w:style w:type="character" w:styleId="Rfrenceintense">
    <w:name w:val="Intense Reference"/>
    <w:basedOn w:val="Policepardfaut"/>
    <w:uiPriority w:val="32"/>
    <w:qFormat/>
    <w:rsid w:val="00E4657A"/>
    <w:rPr>
      <w:b/>
      <w:bCs/>
      <w:smallCaps/>
      <w:color w:val="2F5496" w:themeColor="accent1" w:themeShade="BF"/>
      <w:spacing w:val="5"/>
    </w:rPr>
  </w:style>
  <w:style w:type="paragraph" w:styleId="En-tte">
    <w:name w:val="header"/>
    <w:basedOn w:val="Normal"/>
    <w:link w:val="En-tteCar"/>
    <w:uiPriority w:val="99"/>
    <w:unhideWhenUsed/>
    <w:rsid w:val="00E4657A"/>
    <w:pPr>
      <w:widowControl/>
      <w:tabs>
        <w:tab w:val="center" w:pos="4536"/>
        <w:tab w:val="right" w:pos="9072"/>
      </w:tabs>
      <w:autoSpaceDE/>
      <w:autoSpaceDN/>
    </w:pPr>
    <w:rPr>
      <w:rFonts w:asciiTheme="minorHAnsi" w:eastAsiaTheme="minorEastAsia" w:hAnsiTheme="minorHAnsi" w:cstheme="minorBidi"/>
      <w:kern w:val="2"/>
      <w:sz w:val="24"/>
      <w:szCs w:val="24"/>
      <w:lang w:val="fr-FR"/>
      <w14:ligatures w14:val="standardContextual"/>
    </w:rPr>
  </w:style>
  <w:style w:type="character" w:customStyle="1" w:styleId="En-tteCar">
    <w:name w:val="En-tête Car"/>
    <w:basedOn w:val="Policepardfaut"/>
    <w:link w:val="En-tte"/>
    <w:uiPriority w:val="99"/>
    <w:rsid w:val="00E4657A"/>
    <w:rPr>
      <w:lang w:val="fr-FR"/>
    </w:rPr>
  </w:style>
  <w:style w:type="paragraph" w:styleId="Pieddepage">
    <w:name w:val="footer"/>
    <w:basedOn w:val="Normal"/>
    <w:link w:val="PieddepageCar"/>
    <w:uiPriority w:val="99"/>
    <w:unhideWhenUsed/>
    <w:rsid w:val="00E4657A"/>
    <w:pPr>
      <w:widowControl/>
      <w:tabs>
        <w:tab w:val="center" w:pos="4536"/>
        <w:tab w:val="right" w:pos="9072"/>
      </w:tabs>
      <w:autoSpaceDE/>
      <w:autoSpaceDN/>
    </w:pPr>
    <w:rPr>
      <w:rFonts w:asciiTheme="minorHAnsi" w:eastAsiaTheme="minorEastAsia" w:hAnsiTheme="minorHAnsi" w:cstheme="minorBidi"/>
      <w:kern w:val="2"/>
      <w:sz w:val="24"/>
      <w:szCs w:val="24"/>
      <w:lang w:val="fr-FR"/>
      <w14:ligatures w14:val="standardContextual"/>
    </w:rPr>
  </w:style>
  <w:style w:type="character" w:customStyle="1" w:styleId="PieddepageCar">
    <w:name w:val="Pied de page Car"/>
    <w:basedOn w:val="Policepardfaut"/>
    <w:link w:val="Pieddepage"/>
    <w:uiPriority w:val="99"/>
    <w:rsid w:val="00E4657A"/>
    <w:rPr>
      <w:lang w:val="fr-FR"/>
    </w:rPr>
  </w:style>
  <w:style w:type="character" w:styleId="Lienhypertexte">
    <w:name w:val="Hyperlink"/>
    <w:basedOn w:val="Policepardfaut"/>
    <w:uiPriority w:val="99"/>
    <w:unhideWhenUsed/>
    <w:rsid w:val="00E465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ipp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1382</Words>
  <Characters>7809</Characters>
  <Application>Microsoft Office Word</Application>
  <DocSecurity>0</DocSecurity>
  <Lines>150</Lines>
  <Paragraphs>37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9154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Confidentiel - Richard MONNI</dc:creator>
  <cp:keywords/>
  <dc:description/>
  <cp:lastModifiedBy>Confidentiel - Richard MONNI</cp:lastModifiedBy>
  <cp:revision>2</cp:revision>
  <dcterms:created xsi:type="dcterms:W3CDTF">2025-09-24T14:29:00Z</dcterms:created>
  <dcterms:modified xsi:type="dcterms:W3CDTF">2025-09-24T15:27:00Z</dcterms:modified>
  <cp:category/>
</cp:coreProperties>
</file>