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249"/>
      </w:tblGrid>
      <w:tr w:rsidR="00DA571C" w:rsidRPr="00DA571C" w14:paraId="442211C5" w14:textId="77777777" w:rsidTr="00DA571C">
        <w:trPr>
          <w:trHeight w:val="1276"/>
        </w:trPr>
        <w:tc>
          <w:tcPr>
            <w:tcW w:w="5245" w:type="dxa"/>
            <w:vAlign w:val="bottom"/>
          </w:tcPr>
          <w:p w14:paraId="602DB7F6" w14:textId="4F5975C8" w:rsidR="00DA571C" w:rsidRPr="004535F4" w:rsidRDefault="00DA571C" w:rsidP="00A851E4">
            <w:pPr>
              <w:spacing w:after="0" w:line="240" w:lineRule="auto"/>
              <w:ind w:left="0" w:right="52" w:firstLine="0"/>
              <w:jc w:val="left"/>
              <w:rPr>
                <w:rFonts w:ascii="Poppins" w:hAnsi="Poppins" w:cs="Poppins"/>
                <w:szCs w:val="24"/>
                <w:lang w:val="fr-FR"/>
              </w:rPr>
            </w:pPr>
            <w:r w:rsidRPr="004535F4">
              <w:rPr>
                <w:rFonts w:ascii="Poppins" w:hAnsi="Poppins" w:cs="Poppins"/>
                <w:szCs w:val="24"/>
                <w:lang w:val="fr-FR"/>
              </w:rPr>
              <w:t xml:space="preserve">Congrès Mondial de l’AIPPI 2024 – Hangzhou </w:t>
            </w:r>
          </w:p>
          <w:p w14:paraId="11F30E17" w14:textId="2C987D08" w:rsidR="00DA571C" w:rsidRPr="004535F4" w:rsidRDefault="00DA571C" w:rsidP="00A851E4">
            <w:pPr>
              <w:spacing w:after="0" w:line="240" w:lineRule="auto"/>
              <w:ind w:left="0" w:right="52" w:firstLine="0"/>
              <w:jc w:val="left"/>
              <w:rPr>
                <w:rFonts w:ascii="Poppins" w:hAnsi="Poppins" w:cs="Poppins"/>
                <w:szCs w:val="24"/>
                <w:lang w:val="fr-FR"/>
              </w:rPr>
            </w:pPr>
            <w:r w:rsidRPr="004535F4">
              <w:rPr>
                <w:rFonts w:ascii="Poppins" w:hAnsi="Poppins" w:cs="Poppins"/>
                <w:szCs w:val="24"/>
                <w:lang w:val="fr-FR"/>
              </w:rPr>
              <w:t>Résolution</w:t>
            </w:r>
            <w:r w:rsidR="00BD2C65" w:rsidRPr="004535F4">
              <w:rPr>
                <w:rFonts w:ascii="Poppins" w:hAnsi="Poppins" w:cs="Poppins"/>
                <w:szCs w:val="24"/>
                <w:lang w:val="fr-FR"/>
              </w:rPr>
              <w:t xml:space="preserve"> adoptée en Comité Exécutif</w:t>
            </w:r>
          </w:p>
          <w:p w14:paraId="2EE877E7" w14:textId="07AFE75F" w:rsidR="00DA571C" w:rsidRPr="004535F4" w:rsidRDefault="00BD2C65" w:rsidP="00A851E4">
            <w:pPr>
              <w:spacing w:after="0" w:line="240" w:lineRule="auto"/>
              <w:ind w:left="0" w:right="52" w:firstLine="0"/>
              <w:jc w:val="left"/>
              <w:rPr>
                <w:rFonts w:ascii="Poppins" w:hAnsi="Poppins" w:cs="Poppins"/>
                <w:szCs w:val="24"/>
                <w:lang w:val="fr-FR"/>
              </w:rPr>
            </w:pPr>
            <w:r w:rsidRPr="004535F4">
              <w:rPr>
                <w:rFonts w:ascii="Poppins" w:hAnsi="Poppins" w:cs="Poppins"/>
                <w:szCs w:val="24"/>
                <w:lang w:val="fr-FR"/>
              </w:rPr>
              <w:t xml:space="preserve">Le </w:t>
            </w:r>
            <w:r w:rsidR="00323B70" w:rsidRPr="004535F4">
              <w:rPr>
                <w:rFonts w:ascii="Poppins" w:hAnsi="Poppins" w:cs="Poppins"/>
                <w:szCs w:val="24"/>
                <w:lang w:val="fr-FR"/>
              </w:rPr>
              <w:t>2</w:t>
            </w:r>
            <w:r w:rsidRPr="004535F4">
              <w:rPr>
                <w:rFonts w:ascii="Poppins" w:hAnsi="Poppins" w:cs="Poppins"/>
                <w:szCs w:val="24"/>
                <w:lang w:val="fr-FR"/>
              </w:rPr>
              <w:t>2</w:t>
            </w:r>
            <w:r w:rsidR="00DA571C" w:rsidRPr="004535F4">
              <w:rPr>
                <w:rFonts w:ascii="Poppins" w:hAnsi="Poppins" w:cs="Poppins"/>
                <w:szCs w:val="24"/>
                <w:lang w:val="fr-FR"/>
              </w:rPr>
              <w:t xml:space="preserve"> octobre 2024</w:t>
            </w:r>
          </w:p>
        </w:tc>
        <w:tc>
          <w:tcPr>
            <w:tcW w:w="3249" w:type="dxa"/>
          </w:tcPr>
          <w:p w14:paraId="274CB0A9" w14:textId="77777777" w:rsidR="00DA571C" w:rsidRPr="00DA571C" w:rsidRDefault="00DA571C" w:rsidP="00A851E4">
            <w:pPr>
              <w:spacing w:after="0" w:line="240" w:lineRule="auto"/>
              <w:ind w:left="0" w:right="52" w:firstLine="0"/>
              <w:jc w:val="right"/>
              <w:rPr>
                <w:rFonts w:ascii="Verdana" w:hAnsi="Verdana"/>
                <w:lang w:val="fr-FR"/>
              </w:rPr>
            </w:pPr>
            <w:r w:rsidRPr="00DA571C">
              <w:rPr>
                <w:rFonts w:ascii="Verdana" w:hAnsi="Verdana"/>
                <w:noProof/>
              </w:rPr>
              <w:drawing>
                <wp:inline distT="0" distB="0" distL="0" distR="0" wp14:anchorId="1CE7B018" wp14:editId="7F5B4F4C">
                  <wp:extent cx="1040130" cy="721995"/>
                  <wp:effectExtent l="0" t="0" r="7620" b="1905"/>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8"/>
                          <a:stretch>
                            <a:fillRect/>
                          </a:stretch>
                        </pic:blipFill>
                        <pic:spPr>
                          <a:xfrm>
                            <a:off x="0" y="0"/>
                            <a:ext cx="1040690" cy="722384"/>
                          </a:xfrm>
                          <a:prstGeom prst="rect">
                            <a:avLst/>
                          </a:prstGeom>
                        </pic:spPr>
                      </pic:pic>
                    </a:graphicData>
                  </a:graphic>
                </wp:inline>
              </w:drawing>
            </w:r>
          </w:p>
        </w:tc>
      </w:tr>
    </w:tbl>
    <w:p w14:paraId="6A108C41" w14:textId="77777777" w:rsidR="00DA571C" w:rsidRPr="00DA571C" w:rsidRDefault="00DA571C" w:rsidP="00DA571C">
      <w:pPr>
        <w:spacing w:after="0" w:line="240" w:lineRule="auto"/>
        <w:ind w:left="0" w:right="52" w:firstLine="0"/>
        <w:jc w:val="right"/>
        <w:rPr>
          <w:rFonts w:ascii="Verdana" w:hAnsi="Verdana"/>
          <w:sz w:val="22"/>
        </w:rPr>
      </w:pPr>
    </w:p>
    <w:p w14:paraId="17E183B7" w14:textId="77777777" w:rsidR="00DA571C" w:rsidRPr="00DA571C" w:rsidRDefault="00DA571C" w:rsidP="00DA571C">
      <w:pPr>
        <w:spacing w:after="0" w:line="240" w:lineRule="auto"/>
        <w:ind w:left="0" w:right="14" w:firstLine="0"/>
        <w:jc w:val="center"/>
        <w:rPr>
          <w:rFonts w:ascii="Verdana" w:hAnsi="Verdana"/>
          <w:sz w:val="22"/>
        </w:rPr>
      </w:pPr>
    </w:p>
    <w:p w14:paraId="4186BEC0" w14:textId="1D0216D0" w:rsidR="00DA571C" w:rsidRPr="00DA571C" w:rsidRDefault="00DA571C" w:rsidP="00DA571C">
      <w:pPr>
        <w:spacing w:after="0" w:line="240" w:lineRule="auto"/>
        <w:ind w:left="10" w:right="62" w:hanging="10"/>
        <w:jc w:val="center"/>
        <w:rPr>
          <w:rFonts w:ascii="Poppins" w:eastAsiaTheme="minorEastAsia" w:hAnsi="Poppins" w:cs="Poppins"/>
          <w:b/>
          <w:szCs w:val="24"/>
          <w:lang w:eastAsia="zh-CN"/>
        </w:rPr>
      </w:pPr>
      <w:r w:rsidRPr="00DA571C">
        <w:rPr>
          <w:rFonts w:ascii="Poppins" w:hAnsi="Poppins" w:cs="Poppins"/>
          <w:b/>
          <w:szCs w:val="24"/>
        </w:rPr>
        <w:t xml:space="preserve">Résolution </w:t>
      </w:r>
    </w:p>
    <w:p w14:paraId="69509939" w14:textId="77777777" w:rsidR="00DA571C" w:rsidRPr="00DA571C" w:rsidRDefault="00DA571C" w:rsidP="00DA571C">
      <w:pPr>
        <w:spacing w:after="0" w:line="240" w:lineRule="auto"/>
        <w:ind w:left="10" w:right="62" w:hanging="10"/>
        <w:jc w:val="center"/>
        <w:rPr>
          <w:rFonts w:ascii="Poppins" w:eastAsiaTheme="minorEastAsia" w:hAnsi="Poppins" w:cs="Poppins"/>
          <w:szCs w:val="24"/>
          <w:lang w:eastAsia="zh-CN"/>
        </w:rPr>
      </w:pPr>
    </w:p>
    <w:p w14:paraId="541318DD" w14:textId="30EAB7AD" w:rsidR="00DA571C" w:rsidRPr="00DA571C" w:rsidRDefault="00DA571C" w:rsidP="00DA571C">
      <w:pPr>
        <w:spacing w:after="0" w:line="240" w:lineRule="auto"/>
        <w:ind w:left="0" w:right="14" w:firstLine="0"/>
        <w:jc w:val="center"/>
        <w:rPr>
          <w:rFonts w:ascii="Poppins" w:eastAsiaTheme="minorEastAsia" w:hAnsi="Poppins" w:cs="Poppins"/>
          <w:b/>
          <w:szCs w:val="24"/>
          <w:lang w:eastAsia="zh-CN"/>
        </w:rPr>
      </w:pPr>
      <w:r w:rsidRPr="00DA571C">
        <w:rPr>
          <w:rFonts w:ascii="Poppins" w:hAnsi="Poppins" w:cs="Poppins"/>
          <w:b/>
          <w:szCs w:val="24"/>
        </w:rPr>
        <w:t xml:space="preserve"> 2024 – Question d’étude</w:t>
      </w:r>
      <w:r>
        <w:rPr>
          <w:rFonts w:ascii="Poppins" w:hAnsi="Poppins" w:cs="Poppins"/>
          <w:b/>
          <w:szCs w:val="24"/>
        </w:rPr>
        <w:t xml:space="preserve"> </w:t>
      </w:r>
      <w:r w:rsidRPr="00DA571C">
        <w:rPr>
          <w:rFonts w:ascii="Poppins" w:hAnsi="Poppins" w:cs="Poppins"/>
          <w:b/>
          <w:szCs w:val="24"/>
        </w:rPr>
        <w:t xml:space="preserve">– </w:t>
      </w:r>
      <w:r>
        <w:rPr>
          <w:rFonts w:ascii="Poppins" w:hAnsi="Poppins" w:cs="Poppins"/>
          <w:b/>
          <w:szCs w:val="24"/>
        </w:rPr>
        <w:t>Marques</w:t>
      </w:r>
      <w:r w:rsidRPr="00DA571C">
        <w:rPr>
          <w:rFonts w:ascii="Poppins" w:hAnsi="Poppins" w:cs="Poppins"/>
          <w:b/>
          <w:szCs w:val="24"/>
        </w:rPr>
        <w:t xml:space="preserve"> </w:t>
      </w:r>
    </w:p>
    <w:p w14:paraId="7BADCB78" w14:textId="77777777" w:rsidR="00DA571C" w:rsidRPr="00DA571C" w:rsidRDefault="00DA571C" w:rsidP="00DA571C">
      <w:pPr>
        <w:spacing w:after="0" w:line="240" w:lineRule="auto"/>
        <w:ind w:left="0" w:right="14" w:firstLine="0"/>
        <w:jc w:val="center"/>
        <w:rPr>
          <w:rFonts w:ascii="Poppins" w:eastAsiaTheme="minorEastAsia" w:hAnsi="Poppins" w:cs="Poppins"/>
          <w:szCs w:val="24"/>
          <w:lang w:eastAsia="zh-CN"/>
        </w:rPr>
      </w:pPr>
    </w:p>
    <w:p w14:paraId="0DBC1803" w14:textId="77777777" w:rsidR="00DA571C" w:rsidRDefault="00DA571C" w:rsidP="00DA571C">
      <w:pPr>
        <w:spacing w:after="0" w:line="240" w:lineRule="auto"/>
        <w:ind w:left="0" w:right="14" w:firstLine="0"/>
        <w:jc w:val="center"/>
        <w:rPr>
          <w:rFonts w:ascii="Poppins" w:hAnsi="Poppins" w:cs="Poppins"/>
          <w:b/>
          <w:szCs w:val="24"/>
        </w:rPr>
      </w:pPr>
      <w:r w:rsidRPr="00DA571C">
        <w:rPr>
          <w:rFonts w:ascii="Poppins" w:hAnsi="Poppins" w:cs="Poppins"/>
          <w:b/>
          <w:szCs w:val="24"/>
        </w:rPr>
        <w:t xml:space="preserve">Conflits entre marques composites </w:t>
      </w:r>
    </w:p>
    <w:p w14:paraId="6E80702A" w14:textId="35515F26" w:rsidR="00DA571C" w:rsidRPr="00DA571C" w:rsidRDefault="00DA571C" w:rsidP="00DA571C">
      <w:pPr>
        <w:spacing w:after="0" w:line="240" w:lineRule="auto"/>
        <w:ind w:left="0" w:right="14" w:firstLine="0"/>
        <w:jc w:val="center"/>
        <w:rPr>
          <w:rFonts w:ascii="Poppins" w:hAnsi="Poppins" w:cs="Poppins"/>
          <w:szCs w:val="24"/>
        </w:rPr>
      </w:pPr>
      <w:proofErr w:type="gramStart"/>
      <w:r w:rsidRPr="00DA571C">
        <w:rPr>
          <w:rFonts w:ascii="Poppins" w:hAnsi="Poppins" w:cs="Poppins"/>
          <w:b/>
          <w:szCs w:val="24"/>
        </w:rPr>
        <w:t>comprenant</w:t>
      </w:r>
      <w:proofErr w:type="gramEnd"/>
      <w:r w:rsidRPr="00DA571C">
        <w:rPr>
          <w:rFonts w:ascii="Poppins" w:hAnsi="Poppins" w:cs="Poppins"/>
          <w:b/>
          <w:szCs w:val="24"/>
        </w:rPr>
        <w:t xml:space="preserve"> des éléments non-distinctifs</w:t>
      </w:r>
    </w:p>
    <w:p w14:paraId="505BE61B" w14:textId="77777777" w:rsidR="00DA571C" w:rsidRPr="00DA571C" w:rsidRDefault="00DA571C" w:rsidP="00DA571C">
      <w:pPr>
        <w:spacing w:after="0" w:line="240" w:lineRule="auto"/>
        <w:ind w:left="-29" w:firstLine="0"/>
        <w:jc w:val="left"/>
        <w:rPr>
          <w:rFonts w:ascii="Poppins" w:hAnsi="Poppins" w:cs="Poppins"/>
          <w:szCs w:val="24"/>
        </w:rPr>
      </w:pPr>
      <w:r w:rsidRPr="00DA571C">
        <w:rPr>
          <w:rFonts w:ascii="Poppins" w:hAnsi="Poppins" w:cs="Poppins"/>
          <w:noProof/>
          <w:szCs w:val="24"/>
        </w:rPr>
        <mc:AlternateContent>
          <mc:Choice Requires="wpg">
            <w:drawing>
              <wp:inline distT="0" distB="0" distL="0" distR="0" wp14:anchorId="6CFE1ADB" wp14:editId="6B593453">
                <wp:extent cx="5798185" cy="6096"/>
                <wp:effectExtent l="0" t="0" r="0" b="0"/>
                <wp:docPr id="5363" name="Group 5363"/>
                <wp:cNvGraphicFramePr/>
                <a:graphic xmlns:a="http://schemas.openxmlformats.org/drawingml/2006/main">
                  <a:graphicData uri="http://schemas.microsoft.com/office/word/2010/wordprocessingGroup">
                    <wpg:wgp>
                      <wpg:cNvGrpSpPr/>
                      <wpg:grpSpPr>
                        <a:xfrm>
                          <a:off x="0" y="0"/>
                          <a:ext cx="5798185" cy="6096"/>
                          <a:chOff x="0" y="0"/>
                          <a:chExt cx="5798185" cy="6096"/>
                        </a:xfrm>
                      </wpg:grpSpPr>
                      <wps:wsp>
                        <wps:cNvPr id="6402" name="Shape 640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group w14:anchorId="383BCB90" id="Group 5363" o:spid="_x0000_s1026" style="width:456.55pt;height:.5pt;mso-position-horizontal-relative:char;mso-position-vertical-relative:line" coordsize="579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">
                <v:shape id="Shape 6402"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" path="m,l5798185,r,9144l,9144,,e" fillcolor="black" stroked="f" strokeweight="0">
                  <v:stroke miterlimit="83231f" joinstyle="miter"/>
                  <v:path arrowok="t" textboxrect="0,0,5798185,9144"/>
                </v:shape>
                <w10:anchorlock/>
              </v:group>
            </w:pict>
          </mc:Fallback>
        </mc:AlternateContent>
      </w:r>
    </w:p>
    <w:p w14:paraId="7097748B" w14:textId="77777777" w:rsidR="00DA571C" w:rsidRPr="00DA571C" w:rsidRDefault="00DA571C" w:rsidP="00DA571C">
      <w:pPr>
        <w:spacing w:after="0" w:line="240" w:lineRule="auto"/>
        <w:ind w:left="0" w:firstLine="0"/>
        <w:jc w:val="left"/>
        <w:rPr>
          <w:rFonts w:ascii="Poppins" w:hAnsi="Poppins" w:cs="Poppins"/>
          <w:szCs w:val="24"/>
        </w:rPr>
      </w:pPr>
      <w:r w:rsidRPr="00DA571C">
        <w:rPr>
          <w:rFonts w:ascii="Poppins" w:hAnsi="Poppins" w:cs="Poppins"/>
          <w:szCs w:val="24"/>
        </w:rPr>
        <w:t xml:space="preserve"> </w:t>
      </w:r>
    </w:p>
    <w:p w14:paraId="7D5EF76C" w14:textId="77777777" w:rsidR="00DA571C" w:rsidRPr="00DA571C" w:rsidRDefault="00DA571C" w:rsidP="00DA571C">
      <w:pPr>
        <w:spacing w:after="0" w:line="240" w:lineRule="auto"/>
        <w:ind w:left="0" w:firstLine="0"/>
        <w:jc w:val="left"/>
        <w:rPr>
          <w:rFonts w:ascii="Poppins" w:hAnsi="Poppins" w:cs="Poppins"/>
          <w:szCs w:val="24"/>
        </w:rPr>
      </w:pPr>
      <w:r w:rsidRPr="00DA571C">
        <w:rPr>
          <w:rFonts w:ascii="Poppins" w:hAnsi="Poppins" w:cs="Poppins"/>
          <w:szCs w:val="24"/>
        </w:rPr>
        <w:t xml:space="preserve"> </w:t>
      </w:r>
    </w:p>
    <w:p w14:paraId="523FAE1E" w14:textId="059C825B" w:rsidR="00DA571C" w:rsidRPr="00171B56" w:rsidRDefault="00DA571C" w:rsidP="00DA571C">
      <w:pPr>
        <w:spacing w:after="0" w:line="240" w:lineRule="auto"/>
        <w:ind w:left="-5" w:hanging="10"/>
        <w:jc w:val="left"/>
        <w:rPr>
          <w:rFonts w:ascii="Poppins" w:hAnsi="Poppins" w:cs="Poppins"/>
          <w:szCs w:val="24"/>
        </w:rPr>
      </w:pPr>
      <w:r>
        <w:rPr>
          <w:rFonts w:ascii="Poppins" w:hAnsi="Poppins" w:cs="Poppins"/>
          <w:b/>
          <w:szCs w:val="24"/>
        </w:rPr>
        <w:t xml:space="preserve">Contexte </w:t>
      </w:r>
      <w:r w:rsidRPr="00DA571C">
        <w:rPr>
          <w:rFonts w:ascii="Poppins" w:hAnsi="Poppins" w:cs="Poppins"/>
          <w:b/>
          <w:szCs w:val="24"/>
        </w:rPr>
        <w:t xml:space="preserve">: </w:t>
      </w:r>
    </w:p>
    <w:p w14:paraId="700789DD" w14:textId="77777777" w:rsidR="00DA571C" w:rsidRPr="009C76DD" w:rsidRDefault="00DA571C" w:rsidP="00DA571C">
      <w:pPr>
        <w:spacing w:after="0" w:line="240" w:lineRule="auto"/>
        <w:ind w:left="0" w:firstLine="0"/>
        <w:jc w:val="left"/>
        <w:rPr>
          <w:rFonts w:ascii="Verdana" w:hAnsi="Verdana"/>
          <w:sz w:val="22"/>
        </w:rPr>
      </w:pPr>
      <w:r w:rsidRPr="009C76DD">
        <w:rPr>
          <w:rFonts w:ascii="Verdana" w:hAnsi="Verdana"/>
          <w:sz w:val="22"/>
        </w:rPr>
        <w:t xml:space="preserve"> </w:t>
      </w:r>
    </w:p>
    <w:p w14:paraId="511009E3" w14:textId="18C97460" w:rsidR="00DA571C" w:rsidRDefault="00E24DBD" w:rsidP="00DA571C">
      <w:pPr>
        <w:numPr>
          <w:ilvl w:val="0"/>
          <w:numId w:val="2"/>
        </w:numPr>
        <w:spacing w:after="0" w:line="240" w:lineRule="auto"/>
        <w:ind w:right="52" w:hanging="566"/>
        <w:rPr>
          <w:rFonts w:ascii="Poppins" w:hAnsi="Poppins" w:cs="Poppins"/>
          <w:szCs w:val="24"/>
        </w:rPr>
      </w:pPr>
      <w:r>
        <w:rPr>
          <w:rFonts w:ascii="Poppins" w:hAnsi="Poppins" w:cs="Poppins"/>
          <w:szCs w:val="24"/>
        </w:rPr>
        <w:t xml:space="preserve">La présente </w:t>
      </w:r>
      <w:r w:rsidR="00D12AF6">
        <w:rPr>
          <w:rFonts w:ascii="Poppins" w:hAnsi="Poppins" w:cs="Poppins"/>
          <w:szCs w:val="24"/>
        </w:rPr>
        <w:t>R</w:t>
      </w:r>
      <w:r w:rsidRPr="00E24DBD">
        <w:rPr>
          <w:rFonts w:ascii="Poppins" w:hAnsi="Poppins" w:cs="Poppins"/>
          <w:szCs w:val="24"/>
        </w:rPr>
        <w:t>ésolution concerne les facteurs à prendre en compte par les tribunaux, les instances judiciaires ou les offices de propriété intellectuelle dans l'évaluation de la similitude et du risque de confusion entre des marques lorsque l'une ou les deux sont des marques composites incluant des éléments non distinctifs, ainsi que le rôle que jouent ces éléments non distinctifs dans cette évaluation.</w:t>
      </w:r>
    </w:p>
    <w:p w14:paraId="10474574" w14:textId="77777777" w:rsidR="00DA571C" w:rsidRPr="00807922" w:rsidRDefault="00DA571C" w:rsidP="00DA571C">
      <w:pPr>
        <w:spacing w:after="0" w:line="240" w:lineRule="auto"/>
        <w:ind w:left="0" w:firstLine="0"/>
        <w:jc w:val="left"/>
        <w:rPr>
          <w:rFonts w:ascii="Poppins" w:hAnsi="Poppins" w:cs="Poppins"/>
          <w:szCs w:val="24"/>
        </w:rPr>
      </w:pPr>
    </w:p>
    <w:p w14:paraId="14FF1AD8" w14:textId="25E71B6C" w:rsidR="00E24DBD" w:rsidRDefault="00E24DBD" w:rsidP="00E24DBD">
      <w:pPr>
        <w:numPr>
          <w:ilvl w:val="0"/>
          <w:numId w:val="2"/>
        </w:numPr>
        <w:spacing w:after="0" w:line="240" w:lineRule="auto"/>
        <w:ind w:right="52" w:hanging="566"/>
        <w:rPr>
          <w:rFonts w:ascii="Poppins" w:hAnsi="Poppins" w:cs="Poppins"/>
          <w:szCs w:val="24"/>
        </w:rPr>
      </w:pPr>
      <w:r>
        <w:rPr>
          <w:rFonts w:ascii="Poppins" w:hAnsi="Poppins" w:cs="Poppins"/>
          <w:szCs w:val="24"/>
        </w:rPr>
        <w:t>L</w:t>
      </w:r>
      <w:r w:rsidRPr="00E24DBD">
        <w:rPr>
          <w:rFonts w:ascii="Poppins" w:hAnsi="Poppins" w:cs="Poppins"/>
          <w:szCs w:val="24"/>
        </w:rPr>
        <w:t xml:space="preserve">e sujet des éléments non distinctifs en tant que parties constitutives des marques et leur impact dans l'évaluation de la similitude des marques et du risque de confusion, ou dans </w:t>
      </w:r>
      <w:r>
        <w:rPr>
          <w:rFonts w:ascii="Poppins" w:hAnsi="Poppins" w:cs="Poppins"/>
          <w:szCs w:val="24"/>
        </w:rPr>
        <w:t>la revendication</w:t>
      </w:r>
      <w:r w:rsidRPr="00E24DBD">
        <w:rPr>
          <w:rFonts w:ascii="Poppins" w:hAnsi="Poppins" w:cs="Poppins"/>
          <w:szCs w:val="24"/>
        </w:rPr>
        <w:t xml:space="preserve"> de droits exclusifs sur une marque, a été partiellement abordé dans des résolutions </w:t>
      </w:r>
      <w:r w:rsidR="00330EA4">
        <w:rPr>
          <w:rFonts w:ascii="Poppins" w:hAnsi="Poppins" w:cs="Poppins"/>
          <w:szCs w:val="24"/>
        </w:rPr>
        <w:t>précédentes</w:t>
      </w:r>
      <w:r w:rsidRPr="00E24DBD">
        <w:rPr>
          <w:rFonts w:ascii="Poppins" w:hAnsi="Poppins" w:cs="Poppins"/>
          <w:szCs w:val="24"/>
        </w:rPr>
        <w:t xml:space="preserve"> de l'AIPPI, telles que Q127 « </w:t>
      </w:r>
      <w:r w:rsidRPr="00BD2C65">
        <w:rPr>
          <w:rFonts w:ascii="Poppins" w:hAnsi="Poppins" w:cs="Poppins"/>
          <w:i/>
          <w:iCs/>
          <w:szCs w:val="24"/>
        </w:rPr>
        <w:t>Evaluation de la confusion dans le droit des marques</w:t>
      </w:r>
      <w:r w:rsidRPr="00E24DBD">
        <w:rPr>
          <w:rFonts w:ascii="Poppins" w:hAnsi="Poppins" w:cs="Poppins"/>
          <w:szCs w:val="24"/>
        </w:rPr>
        <w:t xml:space="preserve"> » (1995) et </w:t>
      </w:r>
      <w:r w:rsidRPr="00BD2C65">
        <w:rPr>
          <w:rFonts w:ascii="Poppins" w:hAnsi="Poppins" w:cs="Poppins"/>
          <w:i/>
          <w:iCs/>
          <w:szCs w:val="24"/>
        </w:rPr>
        <w:t xml:space="preserve">« </w:t>
      </w:r>
      <w:r w:rsidR="00330EA4" w:rsidRPr="00BD2C65">
        <w:rPr>
          <w:rFonts w:ascii="Poppins" w:hAnsi="Poppins" w:cs="Poppins"/>
          <w:i/>
          <w:iCs/>
          <w:szCs w:val="24"/>
        </w:rPr>
        <w:t>Les l</w:t>
      </w:r>
      <w:r w:rsidRPr="00BD2C65">
        <w:rPr>
          <w:rFonts w:ascii="Poppins" w:hAnsi="Poppins" w:cs="Poppins"/>
          <w:i/>
          <w:iCs/>
          <w:szCs w:val="24"/>
        </w:rPr>
        <w:t>imitations d</w:t>
      </w:r>
      <w:r w:rsidR="00330EA4" w:rsidRPr="00BD2C65">
        <w:rPr>
          <w:rFonts w:ascii="Poppins" w:hAnsi="Poppins" w:cs="Poppins"/>
          <w:i/>
          <w:iCs/>
          <w:szCs w:val="24"/>
        </w:rPr>
        <w:t>u</w:t>
      </w:r>
      <w:r w:rsidRPr="00BD2C65">
        <w:rPr>
          <w:rFonts w:ascii="Poppins" w:hAnsi="Poppins" w:cs="Poppins"/>
          <w:i/>
          <w:iCs/>
          <w:szCs w:val="24"/>
        </w:rPr>
        <w:t xml:space="preserve"> droit de marques </w:t>
      </w:r>
      <w:r w:rsidRPr="00E24DBD">
        <w:rPr>
          <w:rFonts w:ascii="Poppins" w:hAnsi="Poppins" w:cs="Poppins"/>
          <w:szCs w:val="24"/>
        </w:rPr>
        <w:t xml:space="preserve">» (2007). Lors du </w:t>
      </w:r>
      <w:r w:rsidR="005D6434">
        <w:rPr>
          <w:rFonts w:ascii="Poppins" w:hAnsi="Poppins" w:cs="Poppins"/>
          <w:szCs w:val="24"/>
        </w:rPr>
        <w:t>C</w:t>
      </w:r>
      <w:r w:rsidRPr="00E24DBD">
        <w:rPr>
          <w:rFonts w:ascii="Poppins" w:hAnsi="Poppins" w:cs="Poppins"/>
          <w:szCs w:val="24"/>
        </w:rPr>
        <w:t xml:space="preserve">ongrès mondial de l'AIPPI en 2022, une table ronde </w:t>
      </w:r>
      <w:proofErr w:type="gramStart"/>
      <w:r w:rsidRPr="00E24DBD">
        <w:rPr>
          <w:rFonts w:ascii="Poppins" w:hAnsi="Poppins" w:cs="Poppins"/>
          <w:szCs w:val="24"/>
        </w:rPr>
        <w:t xml:space="preserve">intitulée </w:t>
      </w:r>
      <w:r w:rsidR="00BC712B">
        <w:rPr>
          <w:rFonts w:ascii="Poppins" w:hAnsi="Poppins" w:cs="Poppins"/>
          <w:szCs w:val="24"/>
        </w:rPr>
        <w:t xml:space="preserve"> </w:t>
      </w:r>
      <w:r w:rsidRPr="00E24DBD">
        <w:rPr>
          <w:rFonts w:ascii="Poppins" w:hAnsi="Poppins" w:cs="Poppins"/>
          <w:szCs w:val="24"/>
        </w:rPr>
        <w:t>«</w:t>
      </w:r>
      <w:proofErr w:type="gramEnd"/>
      <w:r w:rsidRPr="00E24DBD">
        <w:rPr>
          <w:rFonts w:ascii="Poppins" w:hAnsi="Poppins" w:cs="Poppins"/>
          <w:szCs w:val="24"/>
        </w:rPr>
        <w:t xml:space="preserve"> </w:t>
      </w:r>
      <w:r w:rsidR="004A3938" w:rsidRPr="00BD2C65">
        <w:rPr>
          <w:rFonts w:ascii="Poppins" w:hAnsi="Poppins" w:cs="Poppins"/>
          <w:i/>
          <w:iCs/>
          <w:szCs w:val="24"/>
        </w:rPr>
        <w:t>À quel point est-ce différent</w:t>
      </w:r>
      <w:r w:rsidR="004A3938" w:rsidRPr="004A3938">
        <w:rPr>
          <w:rFonts w:ascii="Poppins" w:hAnsi="Poppins" w:cs="Poppins"/>
          <w:szCs w:val="24"/>
        </w:rPr>
        <w:t xml:space="preserve"> </w:t>
      </w:r>
      <w:r w:rsidRPr="00E24DBD">
        <w:rPr>
          <w:rFonts w:ascii="Poppins" w:hAnsi="Poppins" w:cs="Poppins"/>
          <w:szCs w:val="24"/>
        </w:rPr>
        <w:t xml:space="preserve">? » a traité de la question des marques composites et de l'évaluation de leur similitude et du risque de confusion. </w:t>
      </w:r>
    </w:p>
    <w:p w14:paraId="1CCA11AC" w14:textId="77777777" w:rsidR="004A3938" w:rsidRPr="00E24DBD" w:rsidRDefault="004A3938" w:rsidP="004A3938">
      <w:pPr>
        <w:spacing w:after="0" w:line="240" w:lineRule="auto"/>
        <w:ind w:left="0" w:right="52" w:firstLine="0"/>
        <w:rPr>
          <w:rFonts w:ascii="Poppins" w:hAnsi="Poppins" w:cs="Poppins"/>
          <w:szCs w:val="24"/>
        </w:rPr>
      </w:pPr>
    </w:p>
    <w:p w14:paraId="1805682A" w14:textId="7609D0F4" w:rsidR="004A3938" w:rsidRPr="004A3938" w:rsidRDefault="004A3938" w:rsidP="004A3938">
      <w:pPr>
        <w:numPr>
          <w:ilvl w:val="0"/>
          <w:numId w:val="2"/>
        </w:numPr>
        <w:spacing w:after="0" w:line="240" w:lineRule="auto"/>
        <w:ind w:right="52" w:hanging="566"/>
        <w:rPr>
          <w:rFonts w:ascii="Poppins" w:hAnsi="Poppins" w:cs="Poppins"/>
          <w:szCs w:val="24"/>
        </w:rPr>
      </w:pPr>
      <w:r w:rsidRPr="005D6434">
        <w:rPr>
          <w:rFonts w:ascii="Poppins" w:hAnsi="Poppins" w:cs="Poppins"/>
          <w:szCs w:val="24"/>
        </w:rPr>
        <w:t xml:space="preserve">La détermination des similitudes et du risque de confusion entre des marques prétendument conflictuelles est un enjeu clé dans la </w:t>
      </w:r>
      <w:r w:rsidR="004535F4">
        <w:rPr>
          <w:rFonts w:ascii="Poppins" w:hAnsi="Poppins" w:cs="Poppins"/>
          <w:szCs w:val="24"/>
        </w:rPr>
        <w:t xml:space="preserve">défense </w:t>
      </w:r>
      <w:r w:rsidRPr="005D6434">
        <w:rPr>
          <w:rFonts w:ascii="Poppins" w:hAnsi="Poppins" w:cs="Poppins"/>
          <w:szCs w:val="24"/>
        </w:rPr>
        <w:t xml:space="preserve">et </w:t>
      </w:r>
      <w:r w:rsidRPr="005D6434">
        <w:rPr>
          <w:rFonts w:ascii="Poppins" w:hAnsi="Poppins" w:cs="Poppins"/>
          <w:szCs w:val="24"/>
        </w:rPr>
        <w:lastRenderedPageBreak/>
        <w:t xml:space="preserve">l’application </w:t>
      </w:r>
      <w:r w:rsidR="00982698">
        <w:rPr>
          <w:rFonts w:ascii="Poppins" w:hAnsi="Poppins" w:cs="Poppins"/>
          <w:szCs w:val="24"/>
        </w:rPr>
        <w:t>du</w:t>
      </w:r>
      <w:r w:rsidR="00982698" w:rsidRPr="005D6434">
        <w:rPr>
          <w:rFonts w:ascii="Poppins" w:hAnsi="Poppins" w:cs="Poppins"/>
          <w:szCs w:val="24"/>
        </w:rPr>
        <w:t xml:space="preserve"> </w:t>
      </w:r>
      <w:r w:rsidRPr="005D6434">
        <w:rPr>
          <w:rFonts w:ascii="Poppins" w:hAnsi="Poppins" w:cs="Poppins"/>
          <w:szCs w:val="24"/>
        </w:rPr>
        <w:t>droit des marques</w:t>
      </w:r>
      <w:r w:rsidRPr="004A3938">
        <w:rPr>
          <w:rFonts w:ascii="Poppins" w:hAnsi="Poppins" w:cs="Poppins"/>
          <w:szCs w:val="24"/>
        </w:rPr>
        <w:t xml:space="preserve">. L'évaluation de la similitude est d'autant plus difficile lorsque l'une ou les deux marques en conflit sont composites, et devient encore plus complexe si des éléments non distinctifs sont impliqués. Dans la mesure où les travaux antérieurs de l'AIPPI n'ont pas couvert les principes, facteurs ou circonstances pouvant être pertinents </w:t>
      </w:r>
      <w:r w:rsidR="00982698">
        <w:rPr>
          <w:rFonts w:ascii="Poppins" w:hAnsi="Poppins" w:cs="Poppins"/>
          <w:szCs w:val="24"/>
        </w:rPr>
        <w:t>pour</w:t>
      </w:r>
      <w:r w:rsidR="00982698" w:rsidRPr="004A3938">
        <w:rPr>
          <w:rFonts w:ascii="Poppins" w:hAnsi="Poppins" w:cs="Poppins"/>
          <w:szCs w:val="24"/>
        </w:rPr>
        <w:t xml:space="preserve"> </w:t>
      </w:r>
      <w:r w:rsidRPr="004A3938">
        <w:rPr>
          <w:rFonts w:ascii="Poppins" w:hAnsi="Poppins" w:cs="Poppins"/>
          <w:szCs w:val="24"/>
        </w:rPr>
        <w:t xml:space="preserve">cette question, une étude plus approfondie et la présente </w:t>
      </w:r>
      <w:r w:rsidR="00D12AF6">
        <w:rPr>
          <w:rFonts w:ascii="Poppins" w:hAnsi="Poppins" w:cs="Poppins"/>
          <w:szCs w:val="24"/>
        </w:rPr>
        <w:t>R</w:t>
      </w:r>
      <w:r w:rsidRPr="004A3938">
        <w:rPr>
          <w:rFonts w:ascii="Poppins" w:hAnsi="Poppins" w:cs="Poppins"/>
          <w:szCs w:val="24"/>
        </w:rPr>
        <w:t>ésolution sont justifiées.</w:t>
      </w:r>
      <w:r w:rsidRPr="004A3938">
        <w:rPr>
          <w:rFonts w:ascii="Poppins" w:hAnsi="Poppins" w:cs="Poppins"/>
          <w:b/>
          <w:szCs w:val="24"/>
        </w:rPr>
        <w:t xml:space="preserve"> </w:t>
      </w:r>
    </w:p>
    <w:p w14:paraId="5374D247" w14:textId="77777777" w:rsidR="004A3938" w:rsidRPr="004A3938" w:rsidRDefault="004A3938" w:rsidP="004A3938">
      <w:pPr>
        <w:spacing w:after="0" w:line="240" w:lineRule="auto"/>
        <w:ind w:left="0" w:right="52" w:firstLine="0"/>
        <w:rPr>
          <w:rFonts w:ascii="Poppins" w:hAnsi="Poppins" w:cs="Poppins"/>
          <w:szCs w:val="24"/>
        </w:rPr>
      </w:pPr>
    </w:p>
    <w:p w14:paraId="2D7CF139" w14:textId="707FF67E" w:rsidR="004A3938" w:rsidRDefault="004A3938" w:rsidP="004A3938">
      <w:pPr>
        <w:numPr>
          <w:ilvl w:val="0"/>
          <w:numId w:val="2"/>
        </w:numPr>
        <w:spacing w:after="0" w:line="240" w:lineRule="auto"/>
        <w:ind w:right="52" w:hanging="566"/>
        <w:rPr>
          <w:rFonts w:ascii="Poppins" w:hAnsi="Poppins" w:cs="Poppins"/>
          <w:szCs w:val="24"/>
        </w:rPr>
      </w:pPr>
      <w:r>
        <w:rPr>
          <w:rFonts w:ascii="Poppins" w:hAnsi="Poppins" w:cs="Poppins"/>
          <w:szCs w:val="24"/>
        </w:rPr>
        <w:t xml:space="preserve">41 </w:t>
      </w:r>
      <w:r w:rsidR="00BC712B">
        <w:rPr>
          <w:rFonts w:ascii="Poppins" w:hAnsi="Poppins" w:cs="Poppins"/>
          <w:szCs w:val="24"/>
        </w:rPr>
        <w:t>R</w:t>
      </w:r>
      <w:r w:rsidRPr="004A3938">
        <w:rPr>
          <w:rFonts w:ascii="Poppins" w:hAnsi="Poppins" w:cs="Poppins"/>
          <w:szCs w:val="24"/>
        </w:rPr>
        <w:t xml:space="preserve">apports ont été reçus de la part </w:t>
      </w:r>
      <w:r w:rsidRPr="00D12AF6">
        <w:rPr>
          <w:rFonts w:ascii="Poppins" w:hAnsi="Poppins" w:cs="Poppins"/>
          <w:szCs w:val="24"/>
        </w:rPr>
        <w:t xml:space="preserve">des Groupes </w:t>
      </w:r>
      <w:r w:rsidR="00D12AF6">
        <w:rPr>
          <w:rFonts w:ascii="Poppins" w:hAnsi="Poppins" w:cs="Poppins"/>
          <w:szCs w:val="24"/>
        </w:rPr>
        <w:t>N</w:t>
      </w:r>
      <w:r w:rsidRPr="00D12AF6">
        <w:rPr>
          <w:rFonts w:ascii="Poppins" w:hAnsi="Poppins" w:cs="Poppins"/>
          <w:szCs w:val="24"/>
        </w:rPr>
        <w:t xml:space="preserve">ationaux et </w:t>
      </w:r>
      <w:r w:rsidR="00D12AF6">
        <w:rPr>
          <w:rFonts w:ascii="Poppins" w:hAnsi="Poppins" w:cs="Poppins"/>
          <w:szCs w:val="24"/>
        </w:rPr>
        <w:t>R</w:t>
      </w:r>
      <w:r w:rsidRPr="00D12AF6">
        <w:rPr>
          <w:rFonts w:ascii="Poppins" w:hAnsi="Poppins" w:cs="Poppins"/>
          <w:szCs w:val="24"/>
        </w:rPr>
        <w:t>égionaux</w:t>
      </w:r>
      <w:r w:rsidRPr="004A3938">
        <w:rPr>
          <w:rFonts w:ascii="Poppins" w:hAnsi="Poppins" w:cs="Poppins"/>
          <w:szCs w:val="24"/>
        </w:rPr>
        <w:t xml:space="preserve"> de l'AIPPI ainsi que des </w:t>
      </w:r>
      <w:r w:rsidR="00D12AF6">
        <w:rPr>
          <w:rFonts w:ascii="Poppins" w:hAnsi="Poppins" w:cs="Poppins"/>
          <w:szCs w:val="24"/>
        </w:rPr>
        <w:t>M</w:t>
      </w:r>
      <w:r w:rsidRPr="004A3938">
        <w:rPr>
          <w:rFonts w:ascii="Poppins" w:hAnsi="Poppins" w:cs="Poppins"/>
          <w:szCs w:val="24"/>
        </w:rPr>
        <w:t xml:space="preserve">embres </w:t>
      </w:r>
      <w:r w:rsidR="00D12AF6">
        <w:rPr>
          <w:rFonts w:ascii="Poppins" w:hAnsi="Poppins" w:cs="Poppins"/>
          <w:szCs w:val="24"/>
        </w:rPr>
        <w:t>I</w:t>
      </w:r>
      <w:r w:rsidRPr="004A3938">
        <w:rPr>
          <w:rFonts w:ascii="Poppins" w:hAnsi="Poppins" w:cs="Poppins"/>
          <w:szCs w:val="24"/>
        </w:rPr>
        <w:t xml:space="preserve">ndépendants, fournissant des informations et des analyses détaillées </w:t>
      </w:r>
      <w:r w:rsidR="00D12AF6">
        <w:rPr>
          <w:rFonts w:ascii="Poppins" w:hAnsi="Poppins" w:cs="Poppins"/>
          <w:szCs w:val="24"/>
        </w:rPr>
        <w:t>portant sur</w:t>
      </w:r>
      <w:r w:rsidRPr="004A3938">
        <w:rPr>
          <w:rFonts w:ascii="Poppins" w:hAnsi="Poppins" w:cs="Poppins"/>
          <w:szCs w:val="24"/>
        </w:rPr>
        <w:t xml:space="preserve"> les lois nationales et régionales </w:t>
      </w:r>
      <w:r w:rsidR="00D12AF6">
        <w:rPr>
          <w:rFonts w:ascii="Poppins" w:hAnsi="Poppins" w:cs="Poppins"/>
          <w:szCs w:val="24"/>
        </w:rPr>
        <w:t>relatives à la p</w:t>
      </w:r>
      <w:r w:rsidRPr="004A3938">
        <w:rPr>
          <w:rFonts w:ascii="Poppins" w:hAnsi="Poppins" w:cs="Poppins"/>
          <w:szCs w:val="24"/>
        </w:rPr>
        <w:t xml:space="preserve">résente </w:t>
      </w:r>
      <w:r w:rsidR="00D12AF6">
        <w:rPr>
          <w:rFonts w:ascii="Poppins" w:hAnsi="Poppins" w:cs="Poppins"/>
          <w:szCs w:val="24"/>
        </w:rPr>
        <w:t>R</w:t>
      </w:r>
      <w:r w:rsidRPr="004A3938">
        <w:rPr>
          <w:rFonts w:ascii="Poppins" w:hAnsi="Poppins" w:cs="Poppins"/>
          <w:szCs w:val="24"/>
        </w:rPr>
        <w:t xml:space="preserve">ésolution. Ces </w:t>
      </w:r>
      <w:r w:rsidR="00BC712B">
        <w:rPr>
          <w:rFonts w:ascii="Poppins" w:hAnsi="Poppins" w:cs="Poppins"/>
          <w:szCs w:val="24"/>
        </w:rPr>
        <w:t>R</w:t>
      </w:r>
      <w:r w:rsidRPr="004A3938">
        <w:rPr>
          <w:rFonts w:ascii="Poppins" w:hAnsi="Poppins" w:cs="Poppins"/>
          <w:szCs w:val="24"/>
        </w:rPr>
        <w:t>apports ont été examinés par l'</w:t>
      </w:r>
      <w:r w:rsidR="00D12AF6">
        <w:rPr>
          <w:rFonts w:ascii="Poppins" w:hAnsi="Poppins" w:cs="Poppins"/>
          <w:szCs w:val="24"/>
        </w:rPr>
        <w:t>E</w:t>
      </w:r>
      <w:r w:rsidRPr="004A3938">
        <w:rPr>
          <w:rFonts w:ascii="Poppins" w:hAnsi="Poppins" w:cs="Poppins"/>
          <w:szCs w:val="24"/>
        </w:rPr>
        <w:t xml:space="preserve">quipe du Rapporteur </w:t>
      </w:r>
      <w:r w:rsidR="005D6434">
        <w:rPr>
          <w:rFonts w:ascii="Poppins" w:hAnsi="Poppins" w:cs="Poppins"/>
          <w:szCs w:val="24"/>
        </w:rPr>
        <w:t>G</w:t>
      </w:r>
      <w:r w:rsidRPr="004A3938">
        <w:rPr>
          <w:rFonts w:ascii="Poppins" w:hAnsi="Poppins" w:cs="Poppins"/>
          <w:szCs w:val="24"/>
        </w:rPr>
        <w:t xml:space="preserve">énéral de l'AIPPI et </w:t>
      </w:r>
      <w:r w:rsidR="005D6434">
        <w:rPr>
          <w:rFonts w:ascii="Poppins" w:hAnsi="Poppins" w:cs="Poppins"/>
          <w:szCs w:val="24"/>
        </w:rPr>
        <w:t>rassemblés</w:t>
      </w:r>
      <w:r w:rsidRPr="004A3938">
        <w:rPr>
          <w:rFonts w:ascii="Poppins" w:hAnsi="Poppins" w:cs="Poppins"/>
          <w:szCs w:val="24"/>
        </w:rPr>
        <w:t xml:space="preserve"> dans un </w:t>
      </w:r>
      <w:r w:rsidR="005D6434">
        <w:rPr>
          <w:rFonts w:ascii="Poppins" w:hAnsi="Poppins" w:cs="Poppins"/>
          <w:szCs w:val="24"/>
        </w:rPr>
        <w:t>R</w:t>
      </w:r>
      <w:r w:rsidRPr="004A3938">
        <w:rPr>
          <w:rFonts w:ascii="Poppins" w:hAnsi="Poppins" w:cs="Poppins"/>
          <w:szCs w:val="24"/>
        </w:rPr>
        <w:t xml:space="preserve">apport </w:t>
      </w:r>
      <w:r w:rsidR="005D6434">
        <w:rPr>
          <w:rFonts w:ascii="Poppins" w:hAnsi="Poppins" w:cs="Poppins"/>
          <w:szCs w:val="24"/>
        </w:rPr>
        <w:t xml:space="preserve">de </w:t>
      </w:r>
      <w:r w:rsidR="00BD2C65">
        <w:rPr>
          <w:rFonts w:ascii="Poppins" w:hAnsi="Poppins" w:cs="Poppins"/>
          <w:szCs w:val="24"/>
        </w:rPr>
        <w:t xml:space="preserve">Synthèse </w:t>
      </w:r>
      <w:r w:rsidRPr="004A3938">
        <w:rPr>
          <w:rFonts w:ascii="Poppins" w:hAnsi="Poppins" w:cs="Poppins"/>
          <w:szCs w:val="24"/>
        </w:rPr>
        <w:t>(</w:t>
      </w:r>
      <w:r w:rsidR="005D6434" w:rsidRPr="005D6434">
        <w:rPr>
          <w:rFonts w:ascii="Poppins" w:hAnsi="Poppins" w:cs="Poppins"/>
          <w:szCs w:val="24"/>
        </w:rPr>
        <w:t>qui peut être consulté à l'adresse suivante</w:t>
      </w:r>
      <w:r w:rsidR="005D6434">
        <w:rPr>
          <w:rFonts w:ascii="Poppins" w:hAnsi="Poppins" w:cs="Poppins"/>
          <w:szCs w:val="24"/>
        </w:rPr>
        <w:t xml:space="preserve"> : </w:t>
      </w:r>
      <w:hyperlink r:id="rId9" w:tgtFrame="_new" w:history="1">
        <w:r w:rsidRPr="004A3938">
          <w:rPr>
            <w:rStyle w:val="Lienhypertexte"/>
            <w:rFonts w:ascii="Poppins" w:hAnsi="Poppins" w:cs="Poppins"/>
            <w:szCs w:val="24"/>
          </w:rPr>
          <w:t>www.aippi.org</w:t>
        </w:r>
      </w:hyperlink>
      <w:r w:rsidRPr="004A3938">
        <w:rPr>
          <w:rFonts w:ascii="Poppins" w:hAnsi="Poppins" w:cs="Poppins"/>
          <w:szCs w:val="24"/>
        </w:rPr>
        <w:t>).</w:t>
      </w:r>
    </w:p>
    <w:p w14:paraId="3468305E" w14:textId="22259EE3" w:rsidR="004A3938" w:rsidRPr="00807922" w:rsidRDefault="004A3938" w:rsidP="004A3938">
      <w:pPr>
        <w:spacing w:after="0" w:line="240" w:lineRule="auto"/>
        <w:ind w:left="0" w:firstLine="0"/>
        <w:jc w:val="left"/>
        <w:rPr>
          <w:rFonts w:ascii="Poppins" w:hAnsi="Poppins" w:cs="Poppins"/>
          <w:szCs w:val="24"/>
        </w:rPr>
      </w:pPr>
    </w:p>
    <w:p w14:paraId="1C145234" w14:textId="78203EC6" w:rsidR="004A3938" w:rsidRPr="00807922" w:rsidRDefault="004A3938" w:rsidP="004A3938">
      <w:pPr>
        <w:numPr>
          <w:ilvl w:val="0"/>
          <w:numId w:val="2"/>
        </w:numPr>
        <w:spacing w:after="0" w:line="240" w:lineRule="auto"/>
        <w:ind w:right="52" w:hanging="566"/>
        <w:rPr>
          <w:rFonts w:ascii="Poppins" w:hAnsi="Poppins" w:cs="Poppins"/>
          <w:szCs w:val="24"/>
        </w:rPr>
      </w:pPr>
      <w:r w:rsidRPr="004A3938">
        <w:rPr>
          <w:rFonts w:ascii="Poppins" w:hAnsi="Poppins" w:cs="Poppins"/>
          <w:szCs w:val="24"/>
        </w:rPr>
        <w:t>Lors du Congrès mondial de l'AIPPI à Hangzhou en 2024, l</w:t>
      </w:r>
      <w:r w:rsidR="005D6434">
        <w:rPr>
          <w:rFonts w:ascii="Poppins" w:hAnsi="Poppins" w:cs="Poppins"/>
          <w:szCs w:val="24"/>
        </w:rPr>
        <w:t xml:space="preserve">’objet </w:t>
      </w:r>
      <w:r w:rsidRPr="004A3938">
        <w:rPr>
          <w:rFonts w:ascii="Poppins" w:hAnsi="Poppins" w:cs="Poppins"/>
          <w:szCs w:val="24"/>
        </w:rPr>
        <w:t xml:space="preserve">de la présente </w:t>
      </w:r>
      <w:r w:rsidR="00D12AF6" w:rsidRPr="00D12AF6">
        <w:rPr>
          <w:rFonts w:ascii="Poppins" w:hAnsi="Poppins" w:cs="Poppins"/>
          <w:szCs w:val="24"/>
        </w:rPr>
        <w:t>R</w:t>
      </w:r>
      <w:r w:rsidRPr="00D12AF6">
        <w:rPr>
          <w:rFonts w:ascii="Poppins" w:hAnsi="Poppins" w:cs="Poppins"/>
          <w:szCs w:val="24"/>
        </w:rPr>
        <w:t>ésolution</w:t>
      </w:r>
      <w:r w:rsidRPr="004A3938">
        <w:rPr>
          <w:rFonts w:ascii="Poppins" w:hAnsi="Poppins" w:cs="Poppins"/>
          <w:szCs w:val="24"/>
        </w:rPr>
        <w:t xml:space="preserve"> a été </w:t>
      </w:r>
      <w:r w:rsidR="005D6434">
        <w:rPr>
          <w:rFonts w:ascii="Poppins" w:hAnsi="Poppins" w:cs="Poppins"/>
          <w:szCs w:val="24"/>
        </w:rPr>
        <w:t xml:space="preserve">plus amplement </w:t>
      </w:r>
      <w:r w:rsidRPr="004A3938">
        <w:rPr>
          <w:rFonts w:ascii="Poppins" w:hAnsi="Poppins" w:cs="Poppins"/>
          <w:szCs w:val="24"/>
        </w:rPr>
        <w:t xml:space="preserve">discuté au sein d'un </w:t>
      </w:r>
      <w:r w:rsidR="005D6434">
        <w:rPr>
          <w:rFonts w:ascii="Poppins" w:hAnsi="Poppins" w:cs="Poppins"/>
          <w:szCs w:val="24"/>
        </w:rPr>
        <w:t>C</w:t>
      </w:r>
      <w:r w:rsidRPr="004A3938">
        <w:rPr>
          <w:rFonts w:ascii="Poppins" w:hAnsi="Poppins" w:cs="Poppins"/>
          <w:szCs w:val="24"/>
        </w:rPr>
        <w:t>omité d'</w:t>
      </w:r>
      <w:r w:rsidR="005D6434">
        <w:rPr>
          <w:rFonts w:ascii="Poppins" w:hAnsi="Poppins" w:cs="Poppins"/>
          <w:szCs w:val="24"/>
        </w:rPr>
        <w:t>E</w:t>
      </w:r>
      <w:r w:rsidRPr="004A3938">
        <w:rPr>
          <w:rFonts w:ascii="Poppins" w:hAnsi="Poppins" w:cs="Poppins"/>
          <w:szCs w:val="24"/>
        </w:rPr>
        <w:t xml:space="preserve">tude dédié, puis de nouveau lors d'une session </w:t>
      </w:r>
      <w:r w:rsidRPr="005D6434">
        <w:rPr>
          <w:rFonts w:ascii="Poppins" w:hAnsi="Poppins" w:cs="Poppins"/>
          <w:szCs w:val="24"/>
        </w:rPr>
        <w:t>plénière</w:t>
      </w:r>
      <w:r w:rsidRPr="004A3938">
        <w:rPr>
          <w:rFonts w:ascii="Poppins" w:hAnsi="Poppins" w:cs="Poppins"/>
          <w:szCs w:val="24"/>
        </w:rPr>
        <w:t xml:space="preserve"> complète, à l'issue de laquelle la présente </w:t>
      </w:r>
      <w:r w:rsidR="00D12AF6">
        <w:rPr>
          <w:rFonts w:ascii="Poppins" w:hAnsi="Poppins" w:cs="Poppins"/>
          <w:szCs w:val="24"/>
        </w:rPr>
        <w:t>R</w:t>
      </w:r>
      <w:r w:rsidRPr="004A3938">
        <w:rPr>
          <w:rFonts w:ascii="Poppins" w:hAnsi="Poppins" w:cs="Poppins"/>
          <w:szCs w:val="24"/>
        </w:rPr>
        <w:t xml:space="preserve">ésolution a été adoptée par le Comité </w:t>
      </w:r>
      <w:r w:rsidR="005F241A">
        <w:rPr>
          <w:rFonts w:ascii="Poppins" w:hAnsi="Poppins" w:cs="Poppins"/>
          <w:szCs w:val="24"/>
        </w:rPr>
        <w:t>E</w:t>
      </w:r>
      <w:r w:rsidRPr="004A3938">
        <w:rPr>
          <w:rFonts w:ascii="Poppins" w:hAnsi="Poppins" w:cs="Poppins"/>
          <w:szCs w:val="24"/>
        </w:rPr>
        <w:t>xécutif de l'AIPPI</w:t>
      </w:r>
      <w:r w:rsidRPr="00807922">
        <w:rPr>
          <w:rFonts w:ascii="Poppins" w:hAnsi="Poppins" w:cs="Poppins"/>
          <w:szCs w:val="24"/>
        </w:rPr>
        <w:t xml:space="preserve">. </w:t>
      </w:r>
    </w:p>
    <w:p w14:paraId="52A25661" w14:textId="77777777" w:rsidR="004A3938" w:rsidRPr="00807922" w:rsidRDefault="004A3938" w:rsidP="004A3938">
      <w:pPr>
        <w:spacing w:after="0" w:line="240" w:lineRule="auto"/>
        <w:ind w:left="0" w:firstLine="0"/>
        <w:jc w:val="left"/>
        <w:rPr>
          <w:rFonts w:ascii="Poppins" w:hAnsi="Poppins" w:cs="Poppins"/>
          <w:szCs w:val="24"/>
        </w:rPr>
      </w:pPr>
      <w:r w:rsidRPr="00807922">
        <w:rPr>
          <w:rFonts w:ascii="Poppins" w:hAnsi="Poppins" w:cs="Poppins"/>
          <w:szCs w:val="24"/>
        </w:rPr>
        <w:t xml:space="preserve"> </w:t>
      </w:r>
    </w:p>
    <w:p w14:paraId="38D897A3" w14:textId="5B2F7495" w:rsidR="004A3938" w:rsidRDefault="004A3938" w:rsidP="004A3938">
      <w:pPr>
        <w:spacing w:after="0" w:line="240" w:lineRule="auto"/>
        <w:ind w:left="-5" w:hanging="10"/>
        <w:jc w:val="left"/>
        <w:rPr>
          <w:rFonts w:ascii="Poppins" w:hAnsi="Poppins" w:cs="Poppins"/>
          <w:b/>
          <w:szCs w:val="24"/>
        </w:rPr>
      </w:pPr>
      <w:r>
        <w:rPr>
          <w:rFonts w:ascii="Poppins" w:hAnsi="Poppins" w:cs="Poppins"/>
          <w:b/>
          <w:szCs w:val="24"/>
        </w:rPr>
        <w:t>L’</w:t>
      </w:r>
      <w:r w:rsidRPr="00807922">
        <w:rPr>
          <w:rFonts w:ascii="Poppins" w:hAnsi="Poppins" w:cs="Poppins"/>
          <w:b/>
          <w:szCs w:val="24"/>
        </w:rPr>
        <w:t xml:space="preserve">AIPPI </w:t>
      </w:r>
      <w:r w:rsidR="00D12AF6">
        <w:rPr>
          <w:rFonts w:ascii="Poppins" w:hAnsi="Poppins" w:cs="Poppins"/>
          <w:b/>
          <w:szCs w:val="24"/>
        </w:rPr>
        <w:t>considère</w:t>
      </w:r>
      <w:r>
        <w:rPr>
          <w:rFonts w:ascii="Poppins" w:hAnsi="Poppins" w:cs="Poppins"/>
          <w:b/>
          <w:szCs w:val="24"/>
        </w:rPr>
        <w:t xml:space="preserve"> que </w:t>
      </w:r>
      <w:r w:rsidRPr="00807922">
        <w:rPr>
          <w:rFonts w:ascii="Poppins" w:hAnsi="Poppins" w:cs="Poppins"/>
          <w:b/>
          <w:szCs w:val="24"/>
        </w:rPr>
        <w:t xml:space="preserve">: </w:t>
      </w:r>
    </w:p>
    <w:p w14:paraId="32CC9F55" w14:textId="77777777" w:rsidR="004A3938" w:rsidRDefault="004A3938" w:rsidP="004A3938">
      <w:pPr>
        <w:spacing w:after="0" w:line="240" w:lineRule="auto"/>
        <w:ind w:left="-5" w:hanging="10"/>
        <w:jc w:val="left"/>
        <w:rPr>
          <w:rFonts w:ascii="Poppins" w:hAnsi="Poppins" w:cs="Poppins"/>
          <w:b/>
          <w:szCs w:val="24"/>
        </w:rPr>
      </w:pPr>
    </w:p>
    <w:p w14:paraId="3454AE4E" w14:textId="08152DA4" w:rsidR="004A3938" w:rsidRPr="004A3938" w:rsidRDefault="004A3938" w:rsidP="004A3938">
      <w:pPr>
        <w:pStyle w:val="Paragraphedeliste"/>
        <w:numPr>
          <w:ilvl w:val="0"/>
          <w:numId w:val="3"/>
        </w:numPr>
        <w:spacing w:line="240" w:lineRule="auto"/>
        <w:rPr>
          <w:rFonts w:ascii="Poppins" w:hAnsi="Poppins" w:cs="Poppins"/>
        </w:rPr>
      </w:pPr>
      <w:r w:rsidRPr="004A3938">
        <w:rPr>
          <w:rFonts w:ascii="Poppins" w:hAnsi="Poppins" w:cs="Poppins"/>
        </w:rPr>
        <w:t>L'évaluation de la similitude et du risque de confusion entre des marques, lorsqu</w:t>
      </w:r>
      <w:r w:rsidR="005F241A">
        <w:rPr>
          <w:rFonts w:ascii="Poppins" w:hAnsi="Poppins" w:cs="Poppins"/>
        </w:rPr>
        <w:t>’</w:t>
      </w:r>
      <w:r w:rsidRPr="004A3938">
        <w:rPr>
          <w:rFonts w:ascii="Poppins" w:hAnsi="Poppins" w:cs="Poppins"/>
        </w:rPr>
        <w:t>au moins l'une d'elles est une marque composite incluant au moins un élément non distinctif, doit être réalisée au cas par cas.</w:t>
      </w:r>
    </w:p>
    <w:p w14:paraId="46192BA7" w14:textId="77777777" w:rsidR="00780A9D" w:rsidRPr="00323B70" w:rsidRDefault="00780A9D" w:rsidP="00780A9D">
      <w:pPr>
        <w:ind w:left="0" w:firstLine="0"/>
        <w:rPr>
          <w:rFonts w:ascii="Poppins" w:hAnsi="Poppins" w:cs="Poppins"/>
          <w:szCs w:val="24"/>
        </w:rPr>
      </w:pPr>
    </w:p>
    <w:p w14:paraId="560D50B0" w14:textId="18FF8147" w:rsidR="00131C66" w:rsidRPr="00131C66" w:rsidRDefault="00E32579" w:rsidP="00131C66">
      <w:pPr>
        <w:numPr>
          <w:ilvl w:val="0"/>
          <w:numId w:val="3"/>
        </w:numPr>
        <w:spacing w:after="0" w:line="240" w:lineRule="auto"/>
        <w:contextualSpacing/>
        <w:rPr>
          <w:rFonts w:ascii="Poppins" w:hAnsi="Poppins" w:cs="Poppins"/>
          <w:szCs w:val="24"/>
        </w:rPr>
      </w:pPr>
      <w:r>
        <w:rPr>
          <w:rFonts w:ascii="Poppins" w:hAnsi="Poppins" w:cs="Poppins"/>
          <w:szCs w:val="24"/>
        </w:rPr>
        <w:t xml:space="preserve">Pour </w:t>
      </w:r>
      <w:r w:rsidR="00780A9D" w:rsidRPr="00780A9D">
        <w:rPr>
          <w:rFonts w:ascii="Poppins" w:hAnsi="Poppins" w:cs="Poppins"/>
          <w:szCs w:val="24"/>
        </w:rPr>
        <w:t xml:space="preserve">l'évaluation de la similitude et du risque de confusion entre de telles marques, l'impression d'ensemble de la marque composite (la règle « </w:t>
      </w:r>
      <w:r w:rsidR="00780A9D" w:rsidRPr="00013660">
        <w:rPr>
          <w:rFonts w:ascii="Poppins" w:hAnsi="Poppins" w:cs="Poppins"/>
          <w:i/>
          <w:iCs/>
          <w:szCs w:val="24"/>
        </w:rPr>
        <w:t>Anti-</w:t>
      </w:r>
      <w:r w:rsidR="00013660" w:rsidRPr="00013660">
        <w:rPr>
          <w:rFonts w:ascii="Poppins" w:hAnsi="Poppins" w:cs="Poppins"/>
          <w:i/>
          <w:iCs/>
          <w:szCs w:val="24"/>
        </w:rPr>
        <w:t>Dissection</w:t>
      </w:r>
      <w:r w:rsidR="00780A9D" w:rsidRPr="00780A9D">
        <w:rPr>
          <w:rFonts w:ascii="Poppins" w:hAnsi="Poppins" w:cs="Poppins"/>
          <w:szCs w:val="24"/>
        </w:rPr>
        <w:t xml:space="preserve"> ») doit être </w:t>
      </w:r>
      <w:r w:rsidR="00B83488">
        <w:rPr>
          <w:rFonts w:ascii="Poppins" w:hAnsi="Poppins" w:cs="Poppins"/>
          <w:szCs w:val="24"/>
        </w:rPr>
        <w:t xml:space="preserve">examinée en prenant en considération </w:t>
      </w:r>
      <w:r w:rsidR="00780A9D" w:rsidRPr="00780A9D">
        <w:rPr>
          <w:rFonts w:ascii="Poppins" w:hAnsi="Poppins" w:cs="Poppins"/>
          <w:szCs w:val="24"/>
        </w:rPr>
        <w:t>l'élément</w:t>
      </w:r>
      <w:r w:rsidR="004A3938" w:rsidRPr="00323B70">
        <w:rPr>
          <w:rFonts w:ascii="Poppins" w:hAnsi="Poppins" w:cs="Poppins"/>
          <w:szCs w:val="24"/>
        </w:rPr>
        <w:t xml:space="preserve"> dominant </w:t>
      </w:r>
      <w:r w:rsidR="00780A9D" w:rsidRPr="00780A9D">
        <w:rPr>
          <w:rFonts w:ascii="Poppins" w:hAnsi="Poppins" w:cs="Poppins"/>
          <w:szCs w:val="24"/>
        </w:rPr>
        <w:t xml:space="preserve">de chaque marque (la règle de </w:t>
      </w:r>
      <w:r w:rsidR="004535F4">
        <w:rPr>
          <w:rFonts w:ascii="Poppins" w:hAnsi="Poppins" w:cs="Poppins"/>
          <w:szCs w:val="24"/>
        </w:rPr>
        <w:t>l</w:t>
      </w:r>
      <w:proofErr w:type="gramStart"/>
      <w:r w:rsidR="004535F4">
        <w:rPr>
          <w:rFonts w:ascii="Poppins" w:hAnsi="Poppins" w:cs="Poppins"/>
          <w:szCs w:val="24"/>
        </w:rPr>
        <w:t>’«</w:t>
      </w:r>
      <w:proofErr w:type="gramEnd"/>
      <w:r w:rsidR="00B83488">
        <w:rPr>
          <w:rFonts w:ascii="Poppins" w:hAnsi="Poppins" w:cs="Poppins"/>
          <w:szCs w:val="24"/>
        </w:rPr>
        <w:t xml:space="preserve"> </w:t>
      </w:r>
      <w:r w:rsidR="00780A9D" w:rsidRPr="00E32579">
        <w:rPr>
          <w:rFonts w:ascii="Poppins" w:hAnsi="Poppins" w:cs="Poppins"/>
          <w:i/>
          <w:iCs/>
          <w:szCs w:val="24"/>
        </w:rPr>
        <w:t>Élément dominant </w:t>
      </w:r>
      <w:r w:rsidR="00780A9D">
        <w:rPr>
          <w:rFonts w:ascii="Poppins" w:hAnsi="Poppins" w:cs="Poppins"/>
          <w:szCs w:val="24"/>
        </w:rPr>
        <w:t>»</w:t>
      </w:r>
      <w:r w:rsidR="00780A9D" w:rsidRPr="00780A9D">
        <w:rPr>
          <w:rFonts w:ascii="Poppins" w:hAnsi="Poppins" w:cs="Poppins"/>
          <w:szCs w:val="24"/>
        </w:rPr>
        <w:t>), ainsi que</w:t>
      </w:r>
      <w:r w:rsidR="00131C66">
        <w:rPr>
          <w:rFonts w:ascii="Poppins" w:hAnsi="Poppins" w:cs="Poppins"/>
          <w:szCs w:val="24"/>
        </w:rPr>
        <w:t xml:space="preserve"> </w:t>
      </w:r>
      <w:r w:rsidR="00835EF5">
        <w:rPr>
          <w:rFonts w:ascii="Poppins" w:hAnsi="Poppins" w:cs="Poppins"/>
          <w:szCs w:val="24"/>
        </w:rPr>
        <w:t xml:space="preserve">la distinctivité </w:t>
      </w:r>
      <w:r w:rsidR="00131C66" w:rsidRPr="00131C66">
        <w:rPr>
          <w:rFonts w:ascii="Poppins" w:hAnsi="Poppins" w:cs="Poppins"/>
          <w:szCs w:val="24"/>
        </w:rPr>
        <w:t>du ou des éléments</w:t>
      </w:r>
      <w:r w:rsidR="00131C66">
        <w:rPr>
          <w:rFonts w:ascii="Poppins" w:hAnsi="Poppins" w:cs="Poppins"/>
          <w:szCs w:val="24"/>
        </w:rPr>
        <w:t xml:space="preserve"> et</w:t>
      </w:r>
      <w:r w:rsidR="00780A9D" w:rsidRPr="00780A9D">
        <w:rPr>
          <w:rFonts w:ascii="Poppins" w:hAnsi="Poppins" w:cs="Poppins"/>
          <w:szCs w:val="24"/>
        </w:rPr>
        <w:t xml:space="preserve"> de tout autre facteur ou circonstance pertinent au</w:t>
      </w:r>
      <w:r w:rsidR="004A3938" w:rsidRPr="00323B70">
        <w:rPr>
          <w:rFonts w:ascii="Poppins" w:hAnsi="Poppins" w:cs="Poppins"/>
          <w:szCs w:val="24"/>
        </w:rPr>
        <w:t xml:space="preserve"> cas</w:t>
      </w:r>
      <w:r w:rsidR="00780A9D" w:rsidRPr="00323B70">
        <w:rPr>
          <w:rFonts w:ascii="Poppins" w:hAnsi="Poppins" w:cs="Poppins"/>
          <w:szCs w:val="24"/>
        </w:rPr>
        <w:t xml:space="preserve"> </w:t>
      </w:r>
      <w:r w:rsidR="00013660">
        <w:rPr>
          <w:rFonts w:ascii="Poppins" w:hAnsi="Poppins" w:cs="Poppins"/>
          <w:szCs w:val="24"/>
        </w:rPr>
        <w:t>d’espèce</w:t>
      </w:r>
      <w:r w:rsidR="004A3938" w:rsidRPr="00323B70">
        <w:rPr>
          <w:rFonts w:ascii="Poppins" w:hAnsi="Poppins" w:cs="Poppins"/>
          <w:szCs w:val="24"/>
        </w:rPr>
        <w:t>.</w:t>
      </w:r>
    </w:p>
    <w:p w14:paraId="2BBA217E" w14:textId="77777777" w:rsidR="004A3938" w:rsidRPr="00323B70" w:rsidRDefault="004A3938" w:rsidP="004A3938">
      <w:pPr>
        <w:ind w:left="720"/>
        <w:contextualSpacing/>
        <w:rPr>
          <w:rFonts w:ascii="Poppins" w:hAnsi="Poppins" w:cs="Poppins"/>
          <w:szCs w:val="24"/>
        </w:rPr>
      </w:pPr>
    </w:p>
    <w:p w14:paraId="04F4CA01" w14:textId="20C64660" w:rsidR="004A3938" w:rsidRPr="00323B70" w:rsidRDefault="00780A9D" w:rsidP="00C37700">
      <w:pPr>
        <w:numPr>
          <w:ilvl w:val="0"/>
          <w:numId w:val="3"/>
        </w:numPr>
        <w:spacing w:after="0" w:line="240" w:lineRule="auto"/>
        <w:ind w:left="720"/>
        <w:contextualSpacing/>
        <w:rPr>
          <w:rFonts w:ascii="Poppins" w:hAnsi="Poppins" w:cs="Poppins"/>
          <w:szCs w:val="24"/>
        </w:rPr>
      </w:pPr>
      <w:r w:rsidRPr="00780A9D">
        <w:rPr>
          <w:rFonts w:ascii="Poppins" w:hAnsi="Poppins" w:cs="Poppins"/>
          <w:szCs w:val="24"/>
        </w:rPr>
        <w:t>L'élément non distinctif d'une marque composite ne devrait pas, en règle générale, être complètement ignoré lors de l'évaluation de la similitude et du risque de confusion, bien qu</w:t>
      </w:r>
      <w:r w:rsidR="004535F4">
        <w:rPr>
          <w:rFonts w:ascii="Poppins" w:hAnsi="Poppins" w:cs="Poppins"/>
          <w:szCs w:val="24"/>
        </w:rPr>
        <w:t xml:space="preserve">’il </w:t>
      </w:r>
      <w:r w:rsidR="00783663">
        <w:rPr>
          <w:rFonts w:ascii="Poppins" w:hAnsi="Poppins" w:cs="Poppins"/>
          <w:szCs w:val="24"/>
        </w:rPr>
        <w:t>d</w:t>
      </w:r>
      <w:r w:rsidR="00783663" w:rsidRPr="00780A9D">
        <w:rPr>
          <w:rFonts w:ascii="Poppins" w:hAnsi="Poppins" w:cs="Poppins"/>
          <w:szCs w:val="24"/>
        </w:rPr>
        <w:t>oive</w:t>
      </w:r>
      <w:r w:rsidR="00835EF5" w:rsidRPr="00780A9D">
        <w:rPr>
          <w:rFonts w:ascii="Poppins" w:hAnsi="Poppins" w:cs="Poppins"/>
          <w:szCs w:val="24"/>
        </w:rPr>
        <w:t xml:space="preserve"> généralement </w:t>
      </w:r>
      <w:bookmarkStart w:id="0" w:name="_GoBack"/>
      <w:bookmarkEnd w:id="0"/>
      <w:r w:rsidR="004535F4">
        <w:rPr>
          <w:rFonts w:ascii="Poppins" w:hAnsi="Poppins" w:cs="Poppins"/>
          <w:szCs w:val="24"/>
        </w:rPr>
        <w:t xml:space="preserve">être </w:t>
      </w:r>
      <w:r w:rsidR="00835EF5" w:rsidRPr="00780A9D">
        <w:rPr>
          <w:rFonts w:ascii="Poppins" w:hAnsi="Poppins" w:cs="Poppins"/>
          <w:szCs w:val="24"/>
        </w:rPr>
        <w:t>accor</w:t>
      </w:r>
      <w:r w:rsidR="00835EF5" w:rsidRPr="00D12AF6">
        <w:rPr>
          <w:rFonts w:ascii="Poppins" w:hAnsi="Poppins" w:cs="Poppins"/>
          <w:szCs w:val="24"/>
        </w:rPr>
        <w:t>dé</w:t>
      </w:r>
      <w:r w:rsidR="00835EF5" w:rsidRPr="00780A9D">
        <w:rPr>
          <w:rFonts w:ascii="Poppins" w:hAnsi="Poppins" w:cs="Poppins"/>
          <w:szCs w:val="24"/>
        </w:rPr>
        <w:t xml:space="preserve"> </w:t>
      </w:r>
      <w:r w:rsidRPr="00780A9D">
        <w:rPr>
          <w:rFonts w:ascii="Poppins" w:hAnsi="Poppins" w:cs="Poppins"/>
          <w:szCs w:val="24"/>
        </w:rPr>
        <w:t xml:space="preserve">moins de poids </w:t>
      </w:r>
      <w:r w:rsidR="004535F4">
        <w:rPr>
          <w:rFonts w:ascii="Poppins" w:hAnsi="Poppins" w:cs="Poppins"/>
          <w:szCs w:val="24"/>
        </w:rPr>
        <w:t xml:space="preserve">à </w:t>
      </w:r>
      <w:r w:rsidR="004535F4" w:rsidRPr="00780A9D">
        <w:rPr>
          <w:rFonts w:ascii="Poppins" w:hAnsi="Poppins" w:cs="Poppins"/>
          <w:szCs w:val="24"/>
        </w:rPr>
        <w:t>cet élément non distinctif</w:t>
      </w:r>
      <w:r w:rsidR="004535F4">
        <w:rPr>
          <w:rFonts w:ascii="Poppins" w:hAnsi="Poppins" w:cs="Poppins"/>
          <w:szCs w:val="24"/>
        </w:rPr>
        <w:t xml:space="preserve"> </w:t>
      </w:r>
      <w:r w:rsidRPr="00780A9D">
        <w:rPr>
          <w:rFonts w:ascii="Poppins" w:hAnsi="Poppins" w:cs="Poppins"/>
          <w:szCs w:val="24"/>
        </w:rPr>
        <w:t>dans l'évaluation.</w:t>
      </w:r>
    </w:p>
    <w:p w14:paraId="2FCA16BC" w14:textId="77777777" w:rsidR="00780A9D" w:rsidRPr="00323B70" w:rsidRDefault="00780A9D" w:rsidP="00780A9D">
      <w:pPr>
        <w:pStyle w:val="Paragraphedeliste"/>
        <w:rPr>
          <w:rFonts w:ascii="Poppins" w:hAnsi="Poppins" w:cs="Poppins"/>
          <w:szCs w:val="24"/>
        </w:rPr>
      </w:pPr>
    </w:p>
    <w:p w14:paraId="5C07BC27" w14:textId="77777777" w:rsidR="00780A9D" w:rsidRPr="00323B70" w:rsidRDefault="00780A9D" w:rsidP="00780A9D">
      <w:pPr>
        <w:spacing w:after="0" w:line="240" w:lineRule="auto"/>
        <w:ind w:left="720" w:firstLine="0"/>
        <w:contextualSpacing/>
        <w:rPr>
          <w:rFonts w:ascii="Poppins" w:hAnsi="Poppins" w:cs="Poppins"/>
          <w:szCs w:val="24"/>
        </w:rPr>
      </w:pPr>
    </w:p>
    <w:p w14:paraId="045E9FCA" w14:textId="06CF3F9B" w:rsidR="00131C66" w:rsidRPr="00131C66" w:rsidRDefault="00A377F8" w:rsidP="00131C66">
      <w:pPr>
        <w:numPr>
          <w:ilvl w:val="0"/>
          <w:numId w:val="3"/>
        </w:numPr>
        <w:spacing w:after="0" w:line="240" w:lineRule="auto"/>
        <w:contextualSpacing/>
        <w:rPr>
          <w:rFonts w:ascii="Poppins" w:hAnsi="Poppins" w:cs="Poppins"/>
          <w:szCs w:val="24"/>
          <w:u w:val="single"/>
        </w:rPr>
      </w:pPr>
      <w:r w:rsidRPr="00A377F8">
        <w:rPr>
          <w:rFonts w:ascii="Poppins" w:hAnsi="Poppins" w:cs="Poppins"/>
          <w:szCs w:val="24"/>
        </w:rPr>
        <w:t xml:space="preserve">Les facteurs ou circonstances visés au paragraphe 2) de la présente </w:t>
      </w:r>
      <w:r w:rsidR="00D12AF6">
        <w:rPr>
          <w:rFonts w:ascii="Poppins" w:hAnsi="Poppins" w:cs="Poppins"/>
          <w:szCs w:val="24"/>
        </w:rPr>
        <w:t>R</w:t>
      </w:r>
      <w:r w:rsidRPr="00A377F8">
        <w:rPr>
          <w:rFonts w:ascii="Poppins" w:hAnsi="Poppins" w:cs="Poppins"/>
          <w:szCs w:val="24"/>
        </w:rPr>
        <w:t xml:space="preserve">ésolution comprennent, sans </w:t>
      </w:r>
      <w:r w:rsidR="004F7050">
        <w:rPr>
          <w:rFonts w:ascii="Poppins" w:hAnsi="Poppins" w:cs="Poppins"/>
          <w:szCs w:val="24"/>
        </w:rPr>
        <w:t>qu’ils soient limitatifs</w:t>
      </w:r>
      <w:r w:rsidRPr="00A377F8">
        <w:rPr>
          <w:rFonts w:ascii="Poppins" w:hAnsi="Poppins" w:cs="Poppins"/>
          <w:szCs w:val="24"/>
        </w:rPr>
        <w:t xml:space="preserve">, les éléments suivants </w:t>
      </w:r>
      <w:r w:rsidR="004A3938" w:rsidRPr="00323B70">
        <w:rPr>
          <w:rFonts w:ascii="Poppins" w:hAnsi="Poppins" w:cs="Poppins"/>
          <w:szCs w:val="24"/>
        </w:rPr>
        <w:t>:</w:t>
      </w:r>
    </w:p>
    <w:p w14:paraId="27F2B4D8" w14:textId="045A8CEA" w:rsidR="004A3938" w:rsidRPr="00AE03C5" w:rsidRDefault="00AE03C5" w:rsidP="000421FC">
      <w:pPr>
        <w:numPr>
          <w:ilvl w:val="0"/>
          <w:numId w:val="4"/>
        </w:numPr>
        <w:spacing w:after="0" w:line="240" w:lineRule="auto"/>
        <w:ind w:left="1134" w:hanging="567"/>
        <w:contextualSpacing/>
        <w:rPr>
          <w:rFonts w:ascii="Poppins" w:hAnsi="Poppins" w:cs="Poppins"/>
          <w:color w:val="auto"/>
          <w:szCs w:val="24"/>
        </w:rPr>
      </w:pPr>
      <w:r w:rsidRPr="00AE03C5">
        <w:rPr>
          <w:rFonts w:ascii="Poppins" w:hAnsi="Poppins" w:cs="Poppins"/>
          <w:color w:val="auto"/>
          <w:szCs w:val="24"/>
        </w:rPr>
        <w:t>L</w:t>
      </w:r>
      <w:r>
        <w:rPr>
          <w:rFonts w:ascii="Poppins" w:hAnsi="Poppins" w:cs="Poppins"/>
          <w:color w:val="auto"/>
          <w:szCs w:val="24"/>
        </w:rPr>
        <w:t>a st</w:t>
      </w:r>
      <w:r w:rsidR="00A377F8" w:rsidRPr="00AE03C5">
        <w:rPr>
          <w:rFonts w:ascii="Poppins" w:hAnsi="Poppins" w:cs="Poppins"/>
          <w:color w:val="auto"/>
          <w:szCs w:val="24"/>
        </w:rPr>
        <w:t>ructure des marques compos</w:t>
      </w:r>
      <w:r w:rsidR="00876B5B">
        <w:rPr>
          <w:rFonts w:ascii="Poppins" w:hAnsi="Poppins" w:cs="Poppins"/>
          <w:color w:val="auto"/>
          <w:szCs w:val="24"/>
        </w:rPr>
        <w:t xml:space="preserve">ites, </w:t>
      </w:r>
      <w:r w:rsidR="00A377F8" w:rsidRPr="00AE03C5">
        <w:rPr>
          <w:rFonts w:ascii="Poppins" w:hAnsi="Poppins" w:cs="Poppins"/>
          <w:color w:val="auto"/>
          <w:szCs w:val="24"/>
        </w:rPr>
        <w:t>en particulier :</w:t>
      </w:r>
    </w:p>
    <w:p w14:paraId="25108169" w14:textId="40817181" w:rsidR="004A3938" w:rsidRPr="00323B70" w:rsidRDefault="00A377F8" w:rsidP="004A3938">
      <w:pPr>
        <w:numPr>
          <w:ilvl w:val="0"/>
          <w:numId w:val="5"/>
        </w:numPr>
        <w:spacing w:after="0" w:line="240" w:lineRule="auto"/>
        <w:ind w:left="1701" w:hanging="425"/>
        <w:contextualSpacing/>
        <w:rPr>
          <w:rFonts w:ascii="Poppins" w:hAnsi="Poppins" w:cs="Poppins"/>
          <w:color w:val="auto"/>
          <w:szCs w:val="24"/>
        </w:rPr>
      </w:pPr>
      <w:proofErr w:type="gramStart"/>
      <w:r w:rsidRPr="00A377F8">
        <w:rPr>
          <w:rFonts w:ascii="Poppins" w:hAnsi="Poppins" w:cs="Poppins"/>
          <w:color w:val="auto"/>
          <w:szCs w:val="24"/>
        </w:rPr>
        <w:t>si</w:t>
      </w:r>
      <w:proofErr w:type="gramEnd"/>
      <w:r w:rsidRPr="00A377F8">
        <w:rPr>
          <w:rFonts w:ascii="Poppins" w:hAnsi="Poppins" w:cs="Poppins"/>
          <w:color w:val="auto"/>
          <w:szCs w:val="24"/>
        </w:rPr>
        <w:t xml:space="preserve"> les éléments distinctifs et non distinctifs sont considéré</w:t>
      </w:r>
      <w:r w:rsidR="0080381D">
        <w:rPr>
          <w:rFonts w:ascii="Poppins" w:hAnsi="Poppins" w:cs="Poppins"/>
          <w:color w:val="auto"/>
          <w:szCs w:val="24"/>
        </w:rPr>
        <w:t>s par le public concerné</w:t>
      </w:r>
      <w:r w:rsidRPr="00A377F8">
        <w:rPr>
          <w:rFonts w:ascii="Poppins" w:hAnsi="Poppins" w:cs="Poppins"/>
          <w:color w:val="auto"/>
          <w:szCs w:val="24"/>
        </w:rPr>
        <w:t xml:space="preserve"> comme dissociables</w:t>
      </w:r>
      <w:r>
        <w:rPr>
          <w:rFonts w:ascii="Poppins" w:hAnsi="Poppins" w:cs="Poppins"/>
          <w:color w:val="auto"/>
          <w:szCs w:val="24"/>
        </w:rPr>
        <w:t xml:space="preserve"> </w:t>
      </w:r>
      <w:r w:rsidR="004A3938" w:rsidRPr="00323B70">
        <w:rPr>
          <w:rFonts w:ascii="Poppins" w:hAnsi="Poppins" w:cs="Poppins"/>
          <w:color w:val="auto"/>
          <w:szCs w:val="24"/>
        </w:rPr>
        <w:t xml:space="preserve">; </w:t>
      </w:r>
    </w:p>
    <w:p w14:paraId="054162CE" w14:textId="7E14E831" w:rsidR="004A3938" w:rsidRPr="00323B70" w:rsidRDefault="00A377F8" w:rsidP="004A3938">
      <w:pPr>
        <w:numPr>
          <w:ilvl w:val="0"/>
          <w:numId w:val="5"/>
        </w:numPr>
        <w:spacing w:after="0" w:line="240" w:lineRule="auto"/>
        <w:ind w:left="1701" w:hanging="425"/>
        <w:contextualSpacing/>
        <w:rPr>
          <w:rFonts w:ascii="Poppins" w:hAnsi="Poppins" w:cs="Poppins"/>
          <w:color w:val="auto"/>
          <w:szCs w:val="24"/>
        </w:rPr>
      </w:pPr>
      <w:proofErr w:type="gramStart"/>
      <w:r w:rsidRPr="00A377F8">
        <w:rPr>
          <w:rFonts w:ascii="Poppins" w:hAnsi="Poppins" w:cs="Poppins"/>
          <w:color w:val="auto"/>
          <w:szCs w:val="24"/>
        </w:rPr>
        <w:t>la</w:t>
      </w:r>
      <w:proofErr w:type="gramEnd"/>
      <w:r w:rsidRPr="00A377F8">
        <w:rPr>
          <w:rFonts w:ascii="Poppins" w:hAnsi="Poppins" w:cs="Poppins"/>
          <w:color w:val="auto"/>
          <w:szCs w:val="24"/>
        </w:rPr>
        <w:t xml:space="preserve"> taille comparative relative de ces éléments</w:t>
      </w:r>
      <w:r>
        <w:rPr>
          <w:rFonts w:ascii="Poppins" w:hAnsi="Poppins" w:cs="Poppins"/>
          <w:color w:val="auto"/>
          <w:szCs w:val="24"/>
        </w:rPr>
        <w:t xml:space="preserve"> </w:t>
      </w:r>
      <w:r w:rsidR="004A3938" w:rsidRPr="00323B70">
        <w:rPr>
          <w:rFonts w:ascii="Poppins" w:hAnsi="Poppins" w:cs="Poppins"/>
          <w:color w:val="auto"/>
          <w:szCs w:val="24"/>
        </w:rPr>
        <w:t xml:space="preserve">; </w:t>
      </w:r>
    </w:p>
    <w:p w14:paraId="38781B27" w14:textId="67355131" w:rsidR="004A3938" w:rsidRPr="00323B70" w:rsidRDefault="00A377F8" w:rsidP="004A3938">
      <w:pPr>
        <w:numPr>
          <w:ilvl w:val="0"/>
          <w:numId w:val="5"/>
        </w:numPr>
        <w:spacing w:after="0" w:line="240" w:lineRule="auto"/>
        <w:ind w:left="1701" w:hanging="425"/>
        <w:contextualSpacing/>
        <w:rPr>
          <w:rFonts w:ascii="Poppins" w:hAnsi="Poppins" w:cs="Poppins"/>
          <w:color w:val="auto"/>
          <w:szCs w:val="24"/>
        </w:rPr>
      </w:pPr>
      <w:proofErr w:type="gramStart"/>
      <w:r w:rsidRPr="00A377F8">
        <w:rPr>
          <w:rFonts w:ascii="Poppins" w:hAnsi="Poppins" w:cs="Poppins"/>
          <w:color w:val="auto"/>
          <w:szCs w:val="24"/>
        </w:rPr>
        <w:t>la</w:t>
      </w:r>
      <w:proofErr w:type="gramEnd"/>
      <w:r w:rsidRPr="00A377F8">
        <w:rPr>
          <w:rFonts w:ascii="Poppins" w:hAnsi="Poppins" w:cs="Poppins"/>
          <w:color w:val="auto"/>
          <w:szCs w:val="24"/>
        </w:rPr>
        <w:t xml:space="preserve"> distance et/ou le rapport</w:t>
      </w:r>
      <w:r w:rsidR="0057543B">
        <w:rPr>
          <w:rFonts w:ascii="Poppins" w:hAnsi="Poppins" w:cs="Poppins"/>
          <w:color w:val="auto"/>
          <w:szCs w:val="24"/>
        </w:rPr>
        <w:t xml:space="preserve"> de proportion </w:t>
      </w:r>
      <w:r w:rsidRPr="00A377F8">
        <w:rPr>
          <w:rFonts w:ascii="Poppins" w:hAnsi="Poppins" w:cs="Poppins"/>
          <w:color w:val="auto"/>
          <w:szCs w:val="24"/>
        </w:rPr>
        <w:t>entre eux</w:t>
      </w:r>
      <w:r w:rsidR="0080381D">
        <w:rPr>
          <w:rFonts w:ascii="Poppins" w:hAnsi="Poppins" w:cs="Poppins"/>
          <w:color w:val="auto"/>
          <w:szCs w:val="24"/>
        </w:rPr>
        <w:t xml:space="preserve"> </w:t>
      </w:r>
      <w:r w:rsidR="004A3938" w:rsidRPr="00323B70">
        <w:rPr>
          <w:rFonts w:ascii="Poppins" w:hAnsi="Poppins" w:cs="Poppins"/>
          <w:color w:val="auto"/>
          <w:szCs w:val="24"/>
        </w:rPr>
        <w:t>;</w:t>
      </w:r>
    </w:p>
    <w:p w14:paraId="72B68859" w14:textId="57B63464" w:rsidR="004A3938" w:rsidRPr="00CA0EA7" w:rsidRDefault="00A377F8" w:rsidP="004A3938">
      <w:pPr>
        <w:numPr>
          <w:ilvl w:val="0"/>
          <w:numId w:val="4"/>
        </w:numPr>
        <w:spacing w:after="0" w:line="240" w:lineRule="auto"/>
        <w:ind w:left="1134" w:hanging="567"/>
        <w:contextualSpacing/>
        <w:rPr>
          <w:rFonts w:ascii="Poppins" w:hAnsi="Poppins" w:cs="Poppins"/>
          <w:color w:val="auto"/>
          <w:szCs w:val="24"/>
        </w:rPr>
      </w:pPr>
      <w:proofErr w:type="gramStart"/>
      <w:r w:rsidRPr="00A377F8">
        <w:rPr>
          <w:rFonts w:ascii="Poppins" w:hAnsi="Poppins" w:cs="Poppins"/>
          <w:color w:val="auto"/>
          <w:szCs w:val="24"/>
        </w:rPr>
        <w:t>la</w:t>
      </w:r>
      <w:proofErr w:type="gramEnd"/>
      <w:r w:rsidRPr="00A377F8">
        <w:rPr>
          <w:rFonts w:ascii="Poppins" w:hAnsi="Poppins" w:cs="Poppins"/>
          <w:color w:val="auto"/>
          <w:szCs w:val="24"/>
        </w:rPr>
        <w:t xml:space="preserve"> perception d</w:t>
      </w:r>
      <w:r w:rsidR="00453698">
        <w:rPr>
          <w:rFonts w:ascii="Poppins" w:hAnsi="Poppins" w:cs="Poppins"/>
          <w:color w:val="auto"/>
          <w:szCs w:val="24"/>
        </w:rPr>
        <w:t xml:space="preserve">u public concerné </w:t>
      </w:r>
      <w:r w:rsidR="004A3938" w:rsidRPr="00CA0EA7">
        <w:rPr>
          <w:rFonts w:ascii="Poppins" w:hAnsi="Poppins" w:cs="Poppins"/>
          <w:color w:val="auto"/>
          <w:szCs w:val="24"/>
        </w:rPr>
        <w:t>;</w:t>
      </w:r>
    </w:p>
    <w:p w14:paraId="5F99AEB9" w14:textId="735E5660" w:rsidR="004A3938" w:rsidRPr="00323B70" w:rsidRDefault="00A377F8" w:rsidP="004A3938">
      <w:pPr>
        <w:numPr>
          <w:ilvl w:val="0"/>
          <w:numId w:val="4"/>
        </w:numPr>
        <w:spacing w:after="0" w:line="240" w:lineRule="auto"/>
        <w:ind w:left="1134" w:hanging="567"/>
        <w:contextualSpacing/>
        <w:rPr>
          <w:rFonts w:ascii="Poppins" w:hAnsi="Poppins" w:cs="Poppins"/>
          <w:color w:val="auto"/>
          <w:szCs w:val="24"/>
        </w:rPr>
      </w:pPr>
      <w:proofErr w:type="gramStart"/>
      <w:r w:rsidRPr="00A377F8">
        <w:rPr>
          <w:rFonts w:ascii="Poppins" w:hAnsi="Poppins" w:cs="Poppins"/>
          <w:color w:val="auto"/>
          <w:szCs w:val="24"/>
        </w:rPr>
        <w:t>l'historique</w:t>
      </w:r>
      <w:proofErr w:type="gramEnd"/>
      <w:r w:rsidRPr="00A377F8">
        <w:rPr>
          <w:rFonts w:ascii="Poppins" w:hAnsi="Poppins" w:cs="Poppins"/>
          <w:color w:val="auto"/>
          <w:szCs w:val="24"/>
        </w:rPr>
        <w:t xml:space="preserve"> et l</w:t>
      </w:r>
      <w:r w:rsidR="008D44C4">
        <w:rPr>
          <w:rFonts w:ascii="Poppins" w:hAnsi="Poppins" w:cs="Poppins"/>
          <w:color w:val="auto"/>
          <w:szCs w:val="24"/>
        </w:rPr>
        <w:t>’</w:t>
      </w:r>
      <w:r w:rsidRPr="00A377F8">
        <w:rPr>
          <w:rFonts w:ascii="Poppins" w:hAnsi="Poppins" w:cs="Poppins"/>
          <w:color w:val="auto"/>
          <w:szCs w:val="24"/>
        </w:rPr>
        <w:t>usage de la marque antérieure</w:t>
      </w:r>
      <w:r>
        <w:rPr>
          <w:rFonts w:ascii="Poppins" w:hAnsi="Poppins" w:cs="Poppins"/>
          <w:color w:val="auto"/>
          <w:szCs w:val="24"/>
        </w:rPr>
        <w:t xml:space="preserve"> </w:t>
      </w:r>
      <w:r w:rsidR="004A3938" w:rsidRPr="00323B70">
        <w:rPr>
          <w:rFonts w:ascii="Poppins" w:hAnsi="Poppins" w:cs="Poppins"/>
          <w:color w:val="auto"/>
          <w:szCs w:val="24"/>
        </w:rPr>
        <w:t>;</w:t>
      </w:r>
    </w:p>
    <w:p w14:paraId="25D0DABB" w14:textId="4B9E7555" w:rsidR="004A3938" w:rsidRPr="00323B70" w:rsidRDefault="00A377F8" w:rsidP="004A3938">
      <w:pPr>
        <w:numPr>
          <w:ilvl w:val="0"/>
          <w:numId w:val="4"/>
        </w:numPr>
        <w:spacing w:after="0" w:line="240" w:lineRule="auto"/>
        <w:ind w:left="1134" w:hanging="567"/>
        <w:contextualSpacing/>
        <w:rPr>
          <w:rFonts w:ascii="Poppins" w:hAnsi="Poppins" w:cs="Poppins"/>
          <w:color w:val="auto"/>
          <w:szCs w:val="24"/>
        </w:rPr>
      </w:pPr>
      <w:proofErr w:type="gramStart"/>
      <w:r w:rsidRPr="00A377F8">
        <w:rPr>
          <w:rFonts w:ascii="Poppins" w:hAnsi="Poppins" w:cs="Poppins"/>
          <w:color w:val="auto"/>
          <w:szCs w:val="24"/>
        </w:rPr>
        <w:t>le</w:t>
      </w:r>
      <w:proofErr w:type="gramEnd"/>
      <w:r w:rsidRPr="00A377F8">
        <w:rPr>
          <w:rFonts w:ascii="Poppins" w:hAnsi="Poppins" w:cs="Poppins"/>
          <w:color w:val="auto"/>
          <w:szCs w:val="24"/>
        </w:rPr>
        <w:t xml:space="preserve"> degré de sophistication du public concerné</w:t>
      </w:r>
      <w:r>
        <w:rPr>
          <w:rFonts w:ascii="Poppins" w:hAnsi="Poppins" w:cs="Poppins"/>
          <w:color w:val="auto"/>
          <w:szCs w:val="24"/>
        </w:rPr>
        <w:t xml:space="preserve"> </w:t>
      </w:r>
      <w:r w:rsidR="004A3938" w:rsidRPr="00323B70">
        <w:rPr>
          <w:rFonts w:ascii="Poppins" w:hAnsi="Poppins" w:cs="Poppins"/>
          <w:color w:val="auto"/>
          <w:szCs w:val="24"/>
        </w:rPr>
        <w:t>;</w:t>
      </w:r>
    </w:p>
    <w:p w14:paraId="58640482" w14:textId="4DA3022E" w:rsidR="004A3938" w:rsidRPr="00323B70" w:rsidRDefault="00A377F8" w:rsidP="004A3938">
      <w:pPr>
        <w:numPr>
          <w:ilvl w:val="0"/>
          <w:numId w:val="4"/>
        </w:numPr>
        <w:spacing w:after="0" w:line="240" w:lineRule="auto"/>
        <w:ind w:left="1134" w:hanging="567"/>
        <w:contextualSpacing/>
        <w:rPr>
          <w:rFonts w:ascii="Poppins" w:hAnsi="Poppins" w:cs="Poppins"/>
          <w:color w:val="auto"/>
          <w:szCs w:val="24"/>
        </w:rPr>
      </w:pPr>
      <w:proofErr w:type="gramStart"/>
      <w:r w:rsidRPr="00A377F8">
        <w:rPr>
          <w:rFonts w:ascii="Poppins" w:hAnsi="Poppins" w:cs="Poppins"/>
          <w:color w:val="auto"/>
          <w:szCs w:val="24"/>
        </w:rPr>
        <w:t>les</w:t>
      </w:r>
      <w:proofErr w:type="gramEnd"/>
      <w:r w:rsidRPr="00A377F8">
        <w:rPr>
          <w:rFonts w:ascii="Poppins" w:hAnsi="Poppins" w:cs="Poppins"/>
          <w:color w:val="auto"/>
          <w:szCs w:val="24"/>
        </w:rPr>
        <w:t xml:space="preserve"> pratiques et conventions relatives à l'usage des marques dans le domaine concerné ;</w:t>
      </w:r>
    </w:p>
    <w:p w14:paraId="100DE17F" w14:textId="6EA5A392" w:rsidR="004A3938" w:rsidRDefault="00A377F8" w:rsidP="004A3938">
      <w:pPr>
        <w:numPr>
          <w:ilvl w:val="0"/>
          <w:numId w:val="4"/>
        </w:numPr>
        <w:spacing w:after="0" w:line="240" w:lineRule="auto"/>
        <w:ind w:left="1134" w:hanging="567"/>
        <w:contextualSpacing/>
        <w:rPr>
          <w:rFonts w:ascii="Poppins" w:hAnsi="Poppins" w:cs="Poppins"/>
          <w:color w:val="auto"/>
          <w:szCs w:val="24"/>
        </w:rPr>
      </w:pPr>
      <w:proofErr w:type="gramStart"/>
      <w:r w:rsidRPr="00A377F8">
        <w:rPr>
          <w:rFonts w:ascii="Poppins" w:hAnsi="Poppins" w:cs="Poppins"/>
          <w:color w:val="auto"/>
          <w:szCs w:val="24"/>
        </w:rPr>
        <w:t>la</w:t>
      </w:r>
      <w:proofErr w:type="gramEnd"/>
      <w:r w:rsidRPr="00A377F8">
        <w:rPr>
          <w:rFonts w:ascii="Poppins" w:hAnsi="Poppins" w:cs="Poppins"/>
          <w:color w:val="auto"/>
          <w:szCs w:val="24"/>
        </w:rPr>
        <w:t xml:space="preserve"> nature des éléments non distinctifs de la marque ou de chaque marque composite</w:t>
      </w:r>
      <w:r>
        <w:rPr>
          <w:rFonts w:ascii="Poppins" w:hAnsi="Poppins" w:cs="Poppins"/>
          <w:color w:val="auto"/>
          <w:szCs w:val="24"/>
        </w:rPr>
        <w:t> ;</w:t>
      </w:r>
    </w:p>
    <w:p w14:paraId="69F37B32" w14:textId="6CAAD358" w:rsidR="0080381D" w:rsidRPr="00323B70" w:rsidRDefault="0080381D" w:rsidP="004A3938">
      <w:pPr>
        <w:numPr>
          <w:ilvl w:val="0"/>
          <w:numId w:val="4"/>
        </w:numPr>
        <w:spacing w:after="0" w:line="240" w:lineRule="auto"/>
        <w:ind w:left="1134" w:hanging="567"/>
        <w:contextualSpacing/>
        <w:rPr>
          <w:rFonts w:ascii="Poppins" w:hAnsi="Poppins" w:cs="Poppins"/>
          <w:color w:val="auto"/>
          <w:szCs w:val="24"/>
        </w:rPr>
      </w:pPr>
      <w:proofErr w:type="gramStart"/>
      <w:r w:rsidRPr="0080381D">
        <w:rPr>
          <w:rFonts w:ascii="Poppins" w:hAnsi="Poppins" w:cs="Poppins"/>
          <w:color w:val="auto"/>
          <w:szCs w:val="24"/>
        </w:rPr>
        <w:t>la</w:t>
      </w:r>
      <w:proofErr w:type="gramEnd"/>
      <w:r w:rsidRPr="0080381D">
        <w:rPr>
          <w:rFonts w:ascii="Poppins" w:hAnsi="Poppins" w:cs="Poppins"/>
          <w:color w:val="auto"/>
          <w:szCs w:val="24"/>
        </w:rPr>
        <w:t xml:space="preserve"> nature et les caractéristiques des produits ou services </w:t>
      </w:r>
      <w:r>
        <w:rPr>
          <w:rFonts w:ascii="Poppins" w:hAnsi="Poppins" w:cs="Poppins"/>
          <w:color w:val="auto"/>
          <w:szCs w:val="24"/>
        </w:rPr>
        <w:t>concernés ;</w:t>
      </w:r>
    </w:p>
    <w:p w14:paraId="7F9078AF" w14:textId="350AC23C" w:rsidR="004A3938" w:rsidRPr="00323B70" w:rsidRDefault="00A377F8" w:rsidP="004A3938">
      <w:pPr>
        <w:numPr>
          <w:ilvl w:val="0"/>
          <w:numId w:val="4"/>
        </w:numPr>
        <w:spacing w:after="0" w:line="240" w:lineRule="auto"/>
        <w:ind w:left="1134" w:hanging="567"/>
        <w:contextualSpacing/>
        <w:rPr>
          <w:rFonts w:ascii="Poppins" w:hAnsi="Poppins" w:cs="Poppins"/>
          <w:color w:val="auto"/>
          <w:szCs w:val="24"/>
        </w:rPr>
      </w:pPr>
      <w:proofErr w:type="gramStart"/>
      <w:r w:rsidRPr="00323B70">
        <w:rPr>
          <w:rFonts w:ascii="Poppins" w:hAnsi="Poppins" w:cs="Poppins"/>
          <w:color w:val="auto"/>
          <w:szCs w:val="24"/>
        </w:rPr>
        <w:t>le</w:t>
      </w:r>
      <w:proofErr w:type="gramEnd"/>
      <w:r w:rsidR="004A3938" w:rsidRPr="00323B70">
        <w:rPr>
          <w:rFonts w:ascii="Poppins" w:hAnsi="Poppins" w:cs="Poppins"/>
          <w:color w:val="auto"/>
          <w:szCs w:val="24"/>
        </w:rPr>
        <w:t xml:space="preserve"> s</w:t>
      </w:r>
      <w:r w:rsidRPr="00323B70">
        <w:rPr>
          <w:rFonts w:ascii="Poppins" w:hAnsi="Poppins" w:cs="Poppins"/>
          <w:color w:val="auto"/>
          <w:szCs w:val="24"/>
        </w:rPr>
        <w:t>ecteur</w:t>
      </w:r>
      <w:r w:rsidR="004A3938" w:rsidRPr="00323B70">
        <w:rPr>
          <w:rFonts w:ascii="Poppins" w:hAnsi="Poppins" w:cs="Poppins"/>
          <w:color w:val="auto"/>
          <w:szCs w:val="24"/>
        </w:rPr>
        <w:t xml:space="preserve"> </w:t>
      </w:r>
      <w:r w:rsidRPr="00A377F8">
        <w:rPr>
          <w:rFonts w:ascii="Poppins" w:hAnsi="Poppins" w:cs="Poppins"/>
          <w:color w:val="auto"/>
          <w:szCs w:val="24"/>
        </w:rPr>
        <w:t xml:space="preserve">d'activité </w:t>
      </w:r>
      <w:r w:rsidR="00982698">
        <w:rPr>
          <w:rFonts w:ascii="Poppins" w:hAnsi="Poppins" w:cs="Poppins"/>
          <w:color w:val="auto"/>
          <w:szCs w:val="24"/>
        </w:rPr>
        <w:t>des</w:t>
      </w:r>
      <w:r w:rsidRPr="00A377F8">
        <w:rPr>
          <w:rFonts w:ascii="Poppins" w:hAnsi="Poppins" w:cs="Poppins"/>
          <w:color w:val="auto"/>
          <w:szCs w:val="24"/>
        </w:rPr>
        <w:t xml:space="preserve"> marque</w:t>
      </w:r>
      <w:r w:rsidR="00982698">
        <w:rPr>
          <w:rFonts w:ascii="Poppins" w:hAnsi="Poppins" w:cs="Poppins"/>
          <w:color w:val="auto"/>
          <w:szCs w:val="24"/>
        </w:rPr>
        <w:t>s</w:t>
      </w:r>
      <w:r w:rsidRPr="00A377F8">
        <w:rPr>
          <w:rFonts w:ascii="Poppins" w:hAnsi="Poppins" w:cs="Poppins"/>
          <w:color w:val="auto"/>
          <w:szCs w:val="24"/>
        </w:rPr>
        <w:t xml:space="preserve"> concernée</w:t>
      </w:r>
      <w:r w:rsidR="00982698">
        <w:rPr>
          <w:rFonts w:ascii="Poppins" w:hAnsi="Poppins" w:cs="Poppins"/>
          <w:color w:val="auto"/>
          <w:szCs w:val="24"/>
        </w:rPr>
        <w:t>s</w:t>
      </w:r>
      <w:r w:rsidRPr="00323B70">
        <w:rPr>
          <w:rFonts w:ascii="Poppins" w:hAnsi="Poppins" w:cs="Poppins"/>
          <w:color w:val="auto"/>
          <w:szCs w:val="24"/>
        </w:rPr>
        <w:t>.</w:t>
      </w:r>
    </w:p>
    <w:p w14:paraId="6472D093" w14:textId="77777777" w:rsidR="004A3938" w:rsidRPr="00323B70" w:rsidRDefault="004A3938" w:rsidP="004A3938">
      <w:pPr>
        <w:spacing w:after="0" w:line="240" w:lineRule="auto"/>
        <w:rPr>
          <w:rFonts w:ascii="Poppins" w:hAnsi="Poppins" w:cs="Poppins"/>
          <w:szCs w:val="24"/>
        </w:rPr>
      </w:pPr>
    </w:p>
    <w:p w14:paraId="23B8931C" w14:textId="59C34DBC" w:rsidR="004A3938" w:rsidRPr="00323B70" w:rsidRDefault="00A377F8" w:rsidP="004A3938">
      <w:pPr>
        <w:widowControl w:val="0"/>
        <w:numPr>
          <w:ilvl w:val="0"/>
          <w:numId w:val="3"/>
        </w:numPr>
        <w:tabs>
          <w:tab w:val="left" w:pos="840"/>
        </w:tabs>
        <w:autoSpaceDE w:val="0"/>
        <w:autoSpaceDN w:val="0"/>
        <w:spacing w:after="0" w:line="240" w:lineRule="auto"/>
        <w:ind w:right="-1"/>
        <w:contextualSpacing/>
        <w:rPr>
          <w:rFonts w:ascii="Poppins" w:hAnsi="Poppins" w:cs="Poppins"/>
          <w:color w:val="auto"/>
          <w:szCs w:val="24"/>
        </w:rPr>
      </w:pPr>
      <w:r w:rsidRPr="00A377F8">
        <w:rPr>
          <w:rFonts w:ascii="Poppins" w:eastAsia="DengXian" w:hAnsi="Poppins" w:cs="Poppins"/>
          <w:color w:val="auto"/>
          <w:szCs w:val="24"/>
          <w:lang w:eastAsia="zh-CN"/>
        </w:rPr>
        <w:t>L'approche</w:t>
      </w:r>
      <w:r w:rsidR="0080381D">
        <w:rPr>
          <w:rFonts w:ascii="Poppins" w:eastAsia="DengXian" w:hAnsi="Poppins" w:cs="Poppins"/>
          <w:color w:val="auto"/>
          <w:szCs w:val="24"/>
          <w:lang w:eastAsia="zh-CN"/>
        </w:rPr>
        <w:t xml:space="preserve"> </w:t>
      </w:r>
      <w:r w:rsidR="00E66AAB">
        <w:rPr>
          <w:rFonts w:ascii="Poppins" w:eastAsia="DengXian" w:hAnsi="Poppins" w:cs="Poppins"/>
          <w:color w:val="auto"/>
          <w:szCs w:val="24"/>
          <w:lang w:eastAsia="zh-CN"/>
        </w:rPr>
        <w:t xml:space="preserve">énoncée </w:t>
      </w:r>
      <w:r w:rsidRPr="00A377F8">
        <w:rPr>
          <w:rFonts w:ascii="Poppins" w:eastAsia="DengXian" w:hAnsi="Poppins" w:cs="Poppins"/>
          <w:color w:val="auto"/>
          <w:szCs w:val="24"/>
          <w:lang w:eastAsia="zh-CN"/>
        </w:rPr>
        <w:t xml:space="preserve">aux paragraphes 1) à 4) de la présente </w:t>
      </w:r>
      <w:r w:rsidR="00D12AF6">
        <w:rPr>
          <w:rFonts w:ascii="Poppins" w:eastAsia="DengXian" w:hAnsi="Poppins" w:cs="Poppins"/>
          <w:color w:val="auto"/>
          <w:szCs w:val="24"/>
          <w:lang w:eastAsia="zh-CN"/>
        </w:rPr>
        <w:t>R</w:t>
      </w:r>
      <w:r w:rsidRPr="00A377F8">
        <w:rPr>
          <w:rFonts w:ascii="Poppins" w:eastAsia="DengXian" w:hAnsi="Poppins" w:cs="Poppins"/>
          <w:color w:val="auto"/>
          <w:szCs w:val="24"/>
          <w:lang w:eastAsia="zh-CN"/>
        </w:rPr>
        <w:t xml:space="preserve">ésolution devrait s'appliquer tant aux procédures d'enregistrement des marques qu'aux </w:t>
      </w:r>
      <w:r w:rsidR="00E66AAB">
        <w:rPr>
          <w:rFonts w:ascii="Poppins" w:eastAsia="DengXian" w:hAnsi="Poppins" w:cs="Poppins"/>
          <w:color w:val="auto"/>
          <w:szCs w:val="24"/>
          <w:lang w:eastAsia="zh-CN"/>
        </w:rPr>
        <w:t xml:space="preserve">actions en </w:t>
      </w:r>
      <w:r w:rsidRPr="00A377F8">
        <w:rPr>
          <w:rFonts w:ascii="Poppins" w:eastAsia="DengXian" w:hAnsi="Poppins" w:cs="Poppins"/>
          <w:color w:val="auto"/>
          <w:szCs w:val="24"/>
          <w:lang w:eastAsia="zh-CN"/>
        </w:rPr>
        <w:t xml:space="preserve">contrefaçon lors de l'évaluation de la similitude et du risque de confusion </w:t>
      </w:r>
      <w:r w:rsidR="00E045C7">
        <w:rPr>
          <w:rFonts w:ascii="Poppins" w:eastAsia="DengXian" w:hAnsi="Poppins" w:cs="Poppins"/>
          <w:color w:val="auto"/>
          <w:szCs w:val="24"/>
          <w:lang w:eastAsia="zh-CN"/>
        </w:rPr>
        <w:t xml:space="preserve">pour les conflits potentiels </w:t>
      </w:r>
      <w:r w:rsidRPr="00A377F8">
        <w:rPr>
          <w:rFonts w:ascii="Poppins" w:eastAsia="DengXian" w:hAnsi="Poppins" w:cs="Poppins"/>
          <w:color w:val="auto"/>
          <w:szCs w:val="24"/>
          <w:lang w:eastAsia="zh-CN"/>
        </w:rPr>
        <w:t xml:space="preserve">entre </w:t>
      </w:r>
      <w:r w:rsidR="004928FA">
        <w:rPr>
          <w:rFonts w:ascii="Poppins" w:eastAsia="DengXian" w:hAnsi="Poppins" w:cs="Poppins"/>
          <w:color w:val="auto"/>
          <w:szCs w:val="24"/>
          <w:lang w:eastAsia="zh-CN"/>
        </w:rPr>
        <w:t xml:space="preserve">de telles </w:t>
      </w:r>
      <w:r w:rsidRPr="00A377F8">
        <w:rPr>
          <w:rFonts w:ascii="Poppins" w:eastAsia="DengXian" w:hAnsi="Poppins" w:cs="Poppins"/>
          <w:color w:val="auto"/>
          <w:szCs w:val="24"/>
          <w:lang w:eastAsia="zh-CN"/>
        </w:rPr>
        <w:t>marques</w:t>
      </w:r>
      <w:r w:rsidR="00E045C7">
        <w:rPr>
          <w:rFonts w:ascii="Poppins" w:eastAsia="DengXian" w:hAnsi="Poppins" w:cs="Poppins"/>
          <w:color w:val="auto"/>
          <w:szCs w:val="24"/>
          <w:lang w:eastAsia="zh-CN"/>
        </w:rPr>
        <w:t xml:space="preserve">. </w:t>
      </w:r>
    </w:p>
    <w:p w14:paraId="4B57092D" w14:textId="77777777" w:rsidR="004A3938" w:rsidRPr="00807922" w:rsidRDefault="004A3938" w:rsidP="004A3938">
      <w:pPr>
        <w:spacing w:after="0" w:line="240" w:lineRule="auto"/>
        <w:ind w:left="-5" w:hanging="10"/>
        <w:jc w:val="left"/>
        <w:rPr>
          <w:rFonts w:ascii="Poppins" w:hAnsi="Poppins" w:cs="Poppins"/>
          <w:szCs w:val="24"/>
        </w:rPr>
      </w:pPr>
    </w:p>
    <w:p w14:paraId="4E807CC6" w14:textId="77777777" w:rsidR="00DA571C" w:rsidRPr="00807922" w:rsidRDefault="00DA571C" w:rsidP="00DA571C">
      <w:pPr>
        <w:pStyle w:val="Paragraphedeliste"/>
        <w:spacing w:after="0" w:line="240" w:lineRule="auto"/>
        <w:rPr>
          <w:rFonts w:ascii="Poppins" w:hAnsi="Poppins" w:cs="Poppins"/>
          <w:szCs w:val="24"/>
        </w:rPr>
      </w:pPr>
    </w:p>
    <w:p w14:paraId="62F1A9DE" w14:textId="551160B3" w:rsidR="004A3938" w:rsidRPr="004A3938" w:rsidRDefault="004A3938" w:rsidP="00DA571C">
      <w:pPr>
        <w:ind w:left="0" w:firstLine="0"/>
      </w:pPr>
    </w:p>
    <w:sectPr w:rsidR="004A3938" w:rsidRPr="004A393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7538" w14:textId="77777777" w:rsidR="00A2599C" w:rsidRPr="00DA571C" w:rsidRDefault="00A2599C" w:rsidP="00DA571C">
      <w:pPr>
        <w:spacing w:after="0" w:line="240" w:lineRule="auto"/>
      </w:pPr>
      <w:r w:rsidRPr="00DA571C">
        <w:separator/>
      </w:r>
    </w:p>
  </w:endnote>
  <w:endnote w:type="continuationSeparator" w:id="0">
    <w:p w14:paraId="3F84EBC6" w14:textId="77777777" w:rsidR="00A2599C" w:rsidRPr="00DA571C" w:rsidRDefault="00A2599C" w:rsidP="00DA571C">
      <w:pPr>
        <w:spacing w:after="0" w:line="240" w:lineRule="auto"/>
      </w:pPr>
      <w:r w:rsidRPr="00DA57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Mangal"/>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B1C1C" w14:textId="77777777" w:rsidR="00A2599C" w:rsidRPr="00DA571C" w:rsidRDefault="00A2599C" w:rsidP="00DA571C">
      <w:pPr>
        <w:spacing w:after="0" w:line="240" w:lineRule="auto"/>
      </w:pPr>
      <w:r w:rsidRPr="00DA571C">
        <w:separator/>
      </w:r>
    </w:p>
  </w:footnote>
  <w:footnote w:type="continuationSeparator" w:id="0">
    <w:p w14:paraId="0392343B" w14:textId="77777777" w:rsidR="00A2599C" w:rsidRPr="00DA571C" w:rsidRDefault="00A2599C" w:rsidP="00DA571C">
      <w:pPr>
        <w:spacing w:after="0" w:line="240" w:lineRule="auto"/>
      </w:pPr>
      <w:r w:rsidRPr="00DA57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A897" w14:textId="20726E6C" w:rsidR="00DA571C" w:rsidRPr="00DA571C" w:rsidRDefault="00DA571C" w:rsidP="00DA571C">
    <w:pPr>
      <w:tabs>
        <w:tab w:val="center" w:pos="4153"/>
        <w:tab w:val="right" w:pos="8306"/>
      </w:tabs>
      <w:snapToGrid w:val="0"/>
      <w:spacing w:line="240" w:lineRule="auto"/>
      <w:rPr>
        <w:b/>
        <w:bCs/>
        <w:sz w:val="18"/>
        <w:szCs w:val="18"/>
      </w:rPr>
    </w:pPr>
    <w:r w:rsidRPr="00DA571C">
      <w:rPr>
        <w:b/>
        <w:bCs/>
        <w:sz w:val="18"/>
        <w:szCs w:val="18"/>
      </w:rPr>
      <w:t xml:space="preserve">Q290-RES-2024 </w:t>
    </w:r>
    <w:r w:rsidR="00BD2C65">
      <w:rPr>
        <w:b/>
        <w:bCs/>
        <w:sz w:val="18"/>
        <w:szCs w:val="18"/>
      </w:rPr>
      <w:t>VF</w:t>
    </w:r>
  </w:p>
  <w:p w14:paraId="7DC3A191" w14:textId="05A88E8F" w:rsidR="00DA571C" w:rsidRPr="00DA571C" w:rsidRDefault="00DA57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4491C"/>
    <w:multiLevelType w:val="hybridMultilevel"/>
    <w:tmpl w:val="E6BC8162"/>
    <w:lvl w:ilvl="0" w:tplc="F0F0E784">
      <w:start w:val="1"/>
      <w:numFmt w:val="lowerLetter"/>
      <w:lvlText w:val="%1."/>
      <w:lvlJc w:val="left"/>
      <w:pPr>
        <w:ind w:left="360" w:hanging="360"/>
      </w:pPr>
      <w:rPr>
        <w:rFonts w:hint="default"/>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1" w15:restartNumberingAfterBreak="0">
    <w:nsid w:val="30450233"/>
    <w:multiLevelType w:val="hybridMultilevel"/>
    <w:tmpl w:val="35E4EF90"/>
    <w:lvl w:ilvl="0" w:tplc="1384EB3A">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CAC778">
      <w:start w:val="1"/>
      <w:numFmt w:val="decimal"/>
      <w:lvlText w:val="%2)"/>
      <w:lvlJc w:val="left"/>
      <w:pPr>
        <w:ind w:left="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402A22">
      <w:start w:val="3"/>
      <w:numFmt w:val="lowerLetter"/>
      <w:lvlText w:val="%3)"/>
      <w:lvlJc w:val="left"/>
      <w:pPr>
        <w:ind w:left="1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26A5D0">
      <w:start w:val="1"/>
      <w:numFmt w:val="decimal"/>
      <w:lvlText w:val="%4"/>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1C14B0">
      <w:start w:val="1"/>
      <w:numFmt w:val="lowerLetter"/>
      <w:lvlText w:val="%5"/>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8C22A6">
      <w:start w:val="1"/>
      <w:numFmt w:val="lowerRoman"/>
      <w:lvlText w:val="%6"/>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C8A126">
      <w:start w:val="1"/>
      <w:numFmt w:val="decimal"/>
      <w:lvlText w:val="%7"/>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8ADE0C">
      <w:start w:val="1"/>
      <w:numFmt w:val="lowerLetter"/>
      <w:lvlText w:val="%8"/>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0A7F34">
      <w:start w:val="1"/>
      <w:numFmt w:val="lowerRoman"/>
      <w:lvlText w:val="%9"/>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4B2681"/>
    <w:multiLevelType w:val="hybridMultilevel"/>
    <w:tmpl w:val="93BC3B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77457EB"/>
    <w:multiLevelType w:val="hybridMultilevel"/>
    <w:tmpl w:val="694AC206"/>
    <w:lvl w:ilvl="0" w:tplc="1384EB3A">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57F10F1C"/>
    <w:multiLevelType w:val="hybridMultilevel"/>
    <w:tmpl w:val="957428AC"/>
    <w:lvl w:ilvl="0" w:tplc="2C0A001B">
      <w:start w:val="1"/>
      <w:numFmt w:val="lowerRoman"/>
      <w:lvlText w:val="%1."/>
      <w:lvlJc w:val="right"/>
      <w:pPr>
        <w:ind w:left="755" w:hanging="360"/>
      </w:pPr>
    </w:lvl>
    <w:lvl w:ilvl="1" w:tplc="2C0A0019" w:tentative="1">
      <w:start w:val="1"/>
      <w:numFmt w:val="lowerLetter"/>
      <w:lvlText w:val="%2."/>
      <w:lvlJc w:val="left"/>
      <w:pPr>
        <w:ind w:left="1475" w:hanging="360"/>
      </w:pPr>
    </w:lvl>
    <w:lvl w:ilvl="2" w:tplc="2C0A001B" w:tentative="1">
      <w:start w:val="1"/>
      <w:numFmt w:val="lowerRoman"/>
      <w:lvlText w:val="%3."/>
      <w:lvlJc w:val="right"/>
      <w:pPr>
        <w:ind w:left="2195" w:hanging="180"/>
      </w:pPr>
    </w:lvl>
    <w:lvl w:ilvl="3" w:tplc="2C0A000F" w:tentative="1">
      <w:start w:val="1"/>
      <w:numFmt w:val="decimal"/>
      <w:lvlText w:val="%4."/>
      <w:lvlJc w:val="left"/>
      <w:pPr>
        <w:ind w:left="2915" w:hanging="360"/>
      </w:pPr>
    </w:lvl>
    <w:lvl w:ilvl="4" w:tplc="2C0A0019" w:tentative="1">
      <w:start w:val="1"/>
      <w:numFmt w:val="lowerLetter"/>
      <w:lvlText w:val="%5."/>
      <w:lvlJc w:val="left"/>
      <w:pPr>
        <w:ind w:left="3635" w:hanging="360"/>
      </w:pPr>
    </w:lvl>
    <w:lvl w:ilvl="5" w:tplc="2C0A001B" w:tentative="1">
      <w:start w:val="1"/>
      <w:numFmt w:val="lowerRoman"/>
      <w:lvlText w:val="%6."/>
      <w:lvlJc w:val="right"/>
      <w:pPr>
        <w:ind w:left="4355" w:hanging="180"/>
      </w:pPr>
    </w:lvl>
    <w:lvl w:ilvl="6" w:tplc="2C0A000F" w:tentative="1">
      <w:start w:val="1"/>
      <w:numFmt w:val="decimal"/>
      <w:lvlText w:val="%7."/>
      <w:lvlJc w:val="left"/>
      <w:pPr>
        <w:ind w:left="5075" w:hanging="360"/>
      </w:pPr>
    </w:lvl>
    <w:lvl w:ilvl="7" w:tplc="2C0A0019" w:tentative="1">
      <w:start w:val="1"/>
      <w:numFmt w:val="lowerLetter"/>
      <w:lvlText w:val="%8."/>
      <w:lvlJc w:val="left"/>
      <w:pPr>
        <w:ind w:left="5795" w:hanging="360"/>
      </w:pPr>
    </w:lvl>
    <w:lvl w:ilvl="8" w:tplc="2C0A001B" w:tentative="1">
      <w:start w:val="1"/>
      <w:numFmt w:val="lowerRoman"/>
      <w:lvlText w:val="%9."/>
      <w:lvlJc w:val="right"/>
      <w:pPr>
        <w:ind w:left="6515"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04"/>
    <w:rsid w:val="00013660"/>
    <w:rsid w:val="00131C66"/>
    <w:rsid w:val="00133E04"/>
    <w:rsid w:val="00277FD7"/>
    <w:rsid w:val="002A18F0"/>
    <w:rsid w:val="00323B70"/>
    <w:rsid w:val="00330EA4"/>
    <w:rsid w:val="00343E18"/>
    <w:rsid w:val="00363F55"/>
    <w:rsid w:val="003D3F14"/>
    <w:rsid w:val="0041592C"/>
    <w:rsid w:val="004535F4"/>
    <w:rsid w:val="00453698"/>
    <w:rsid w:val="004928FA"/>
    <w:rsid w:val="00493374"/>
    <w:rsid w:val="004A3938"/>
    <w:rsid w:val="004F7050"/>
    <w:rsid w:val="005229E3"/>
    <w:rsid w:val="00551399"/>
    <w:rsid w:val="0057543B"/>
    <w:rsid w:val="00585BAE"/>
    <w:rsid w:val="005C75CE"/>
    <w:rsid w:val="005D6434"/>
    <w:rsid w:val="005E35A6"/>
    <w:rsid w:val="005F241A"/>
    <w:rsid w:val="006661F7"/>
    <w:rsid w:val="00682DAF"/>
    <w:rsid w:val="00683180"/>
    <w:rsid w:val="00750FC2"/>
    <w:rsid w:val="00780A9D"/>
    <w:rsid w:val="00783663"/>
    <w:rsid w:val="0080381D"/>
    <w:rsid w:val="00811A64"/>
    <w:rsid w:val="00835EF5"/>
    <w:rsid w:val="00876B5B"/>
    <w:rsid w:val="008D44C4"/>
    <w:rsid w:val="008D6824"/>
    <w:rsid w:val="008E60FE"/>
    <w:rsid w:val="008F71AE"/>
    <w:rsid w:val="00982698"/>
    <w:rsid w:val="00A2599C"/>
    <w:rsid w:val="00A377F8"/>
    <w:rsid w:val="00AE03C5"/>
    <w:rsid w:val="00AF1F3B"/>
    <w:rsid w:val="00B12EFE"/>
    <w:rsid w:val="00B2165B"/>
    <w:rsid w:val="00B463E3"/>
    <w:rsid w:val="00B83488"/>
    <w:rsid w:val="00B94724"/>
    <w:rsid w:val="00BC712B"/>
    <w:rsid w:val="00BD2C65"/>
    <w:rsid w:val="00CA0EA7"/>
    <w:rsid w:val="00CA17CA"/>
    <w:rsid w:val="00CD4DC9"/>
    <w:rsid w:val="00D12AF6"/>
    <w:rsid w:val="00DA571C"/>
    <w:rsid w:val="00DD3A20"/>
    <w:rsid w:val="00E045C7"/>
    <w:rsid w:val="00E24DBD"/>
    <w:rsid w:val="00E32579"/>
    <w:rsid w:val="00E66AAB"/>
    <w:rsid w:val="00E75A3A"/>
    <w:rsid w:val="00EA5C94"/>
    <w:rsid w:val="00F709A5"/>
    <w:rsid w:val="00F77701"/>
    <w:rsid w:val="00FA5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93C3A"/>
  <w15:chartTrackingRefBased/>
  <w15:docId w15:val="{11764482-68AD-41BC-AD48-9DF7FABFE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1C"/>
    <w:pPr>
      <w:spacing w:after="3" w:line="339" w:lineRule="auto"/>
      <w:ind w:left="581" w:hanging="581"/>
      <w:jc w:val="both"/>
    </w:pPr>
    <w:rPr>
      <w:rFonts w:ascii="Calibri" w:eastAsia="Calibri" w:hAnsi="Calibri" w:cs="Calibri"/>
      <w:color w:val="000000"/>
      <w:kern w:val="0"/>
      <w:szCs w:val="22"/>
      <w:lang w:eastAsia="es-AR"/>
      <w14:ligatures w14:val="none"/>
    </w:rPr>
  </w:style>
  <w:style w:type="paragraph" w:styleId="Titre1">
    <w:name w:val="heading 1"/>
    <w:basedOn w:val="Normal"/>
    <w:next w:val="Normal"/>
    <w:link w:val="Titre1Car"/>
    <w:uiPriority w:val="9"/>
    <w:qFormat/>
    <w:rsid w:val="00133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3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3E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3E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3E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3E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3E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3E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3E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3E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3E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3E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3E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3E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3E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3E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3E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3E04"/>
    <w:rPr>
      <w:rFonts w:eastAsiaTheme="majorEastAsia" w:cstheme="majorBidi"/>
      <w:color w:val="272727" w:themeColor="text1" w:themeTint="D8"/>
    </w:rPr>
  </w:style>
  <w:style w:type="paragraph" w:styleId="Titre">
    <w:name w:val="Title"/>
    <w:basedOn w:val="Normal"/>
    <w:next w:val="Normal"/>
    <w:link w:val="TitreCar"/>
    <w:uiPriority w:val="10"/>
    <w:qFormat/>
    <w:rsid w:val="00133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3E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3E04"/>
    <w:pPr>
      <w:numPr>
        <w:ilvl w:val="1"/>
      </w:numPr>
      <w:ind w:left="581" w:hanging="581"/>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3E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3E04"/>
    <w:pPr>
      <w:spacing w:before="160"/>
      <w:jc w:val="center"/>
    </w:pPr>
    <w:rPr>
      <w:i/>
      <w:iCs/>
      <w:color w:val="404040" w:themeColor="text1" w:themeTint="BF"/>
    </w:rPr>
  </w:style>
  <w:style w:type="character" w:customStyle="1" w:styleId="CitationCar">
    <w:name w:val="Citation Car"/>
    <w:basedOn w:val="Policepardfaut"/>
    <w:link w:val="Citation"/>
    <w:uiPriority w:val="29"/>
    <w:rsid w:val="00133E04"/>
    <w:rPr>
      <w:i/>
      <w:iCs/>
      <w:color w:val="404040" w:themeColor="text1" w:themeTint="BF"/>
    </w:rPr>
  </w:style>
  <w:style w:type="paragraph" w:styleId="Paragraphedeliste">
    <w:name w:val="List Paragraph"/>
    <w:basedOn w:val="Normal"/>
    <w:uiPriority w:val="1"/>
    <w:qFormat/>
    <w:rsid w:val="00133E04"/>
    <w:pPr>
      <w:ind w:left="720"/>
      <w:contextualSpacing/>
    </w:pPr>
  </w:style>
  <w:style w:type="character" w:styleId="Accentuationintense">
    <w:name w:val="Intense Emphasis"/>
    <w:basedOn w:val="Policepardfaut"/>
    <w:uiPriority w:val="21"/>
    <w:qFormat/>
    <w:rsid w:val="00133E04"/>
    <w:rPr>
      <w:i/>
      <w:iCs/>
      <w:color w:val="0F4761" w:themeColor="accent1" w:themeShade="BF"/>
    </w:rPr>
  </w:style>
  <w:style w:type="paragraph" w:styleId="Citationintense">
    <w:name w:val="Intense Quote"/>
    <w:basedOn w:val="Normal"/>
    <w:next w:val="Normal"/>
    <w:link w:val="CitationintenseCar"/>
    <w:uiPriority w:val="30"/>
    <w:qFormat/>
    <w:rsid w:val="00133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3E04"/>
    <w:rPr>
      <w:i/>
      <w:iCs/>
      <w:color w:val="0F4761" w:themeColor="accent1" w:themeShade="BF"/>
    </w:rPr>
  </w:style>
  <w:style w:type="character" w:styleId="Rfrenceintense">
    <w:name w:val="Intense Reference"/>
    <w:basedOn w:val="Policepardfaut"/>
    <w:uiPriority w:val="32"/>
    <w:qFormat/>
    <w:rsid w:val="00133E04"/>
    <w:rPr>
      <w:b/>
      <w:bCs/>
      <w:smallCaps/>
      <w:color w:val="0F4761" w:themeColor="accent1" w:themeShade="BF"/>
      <w:spacing w:val="5"/>
    </w:rPr>
  </w:style>
  <w:style w:type="paragraph" w:styleId="En-tte">
    <w:name w:val="header"/>
    <w:basedOn w:val="Normal"/>
    <w:link w:val="En-tteCar"/>
    <w:uiPriority w:val="99"/>
    <w:unhideWhenUsed/>
    <w:rsid w:val="00DA571C"/>
    <w:pPr>
      <w:tabs>
        <w:tab w:val="center" w:pos="4536"/>
        <w:tab w:val="right" w:pos="9072"/>
      </w:tabs>
      <w:spacing w:after="0" w:line="240" w:lineRule="auto"/>
    </w:pPr>
  </w:style>
  <w:style w:type="character" w:customStyle="1" w:styleId="En-tteCar">
    <w:name w:val="En-tête Car"/>
    <w:basedOn w:val="Policepardfaut"/>
    <w:link w:val="En-tte"/>
    <w:uiPriority w:val="99"/>
    <w:rsid w:val="00DA571C"/>
  </w:style>
  <w:style w:type="paragraph" w:styleId="Pieddepage">
    <w:name w:val="footer"/>
    <w:basedOn w:val="Normal"/>
    <w:link w:val="PieddepageCar"/>
    <w:uiPriority w:val="99"/>
    <w:unhideWhenUsed/>
    <w:rsid w:val="00DA57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71C"/>
  </w:style>
  <w:style w:type="table" w:styleId="Grilledutableau">
    <w:name w:val="Table Grid"/>
    <w:basedOn w:val="TableauNormal"/>
    <w:uiPriority w:val="39"/>
    <w:rsid w:val="00DA571C"/>
    <w:pPr>
      <w:spacing w:after="0" w:line="240" w:lineRule="auto"/>
    </w:pPr>
    <w:rPr>
      <w:rFonts w:ascii="Arial" w:eastAsiaTheme="minorEastAsia" w:hAnsi="Arial" w:cs="Arial"/>
      <w:kern w:val="0"/>
      <w:sz w:val="22"/>
      <w:szCs w:val="22"/>
      <w:lang w:val="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3938"/>
    <w:rPr>
      <w:color w:val="467886" w:themeColor="hyperlink"/>
      <w:u w:val="single"/>
    </w:rPr>
  </w:style>
  <w:style w:type="character" w:styleId="Mentionnonrsolue">
    <w:name w:val="Unresolved Mention"/>
    <w:basedOn w:val="Policepardfaut"/>
    <w:uiPriority w:val="99"/>
    <w:semiHidden/>
    <w:unhideWhenUsed/>
    <w:rsid w:val="004A3938"/>
    <w:rPr>
      <w:color w:val="605E5C"/>
      <w:shd w:val="clear" w:color="auto" w:fill="E1DFDD"/>
    </w:rPr>
  </w:style>
  <w:style w:type="character" w:styleId="Marquedecommentaire">
    <w:name w:val="annotation reference"/>
    <w:basedOn w:val="Policepardfaut"/>
    <w:uiPriority w:val="99"/>
    <w:semiHidden/>
    <w:unhideWhenUsed/>
    <w:rsid w:val="004A3938"/>
    <w:rPr>
      <w:sz w:val="16"/>
      <w:szCs w:val="16"/>
    </w:rPr>
  </w:style>
  <w:style w:type="paragraph" w:styleId="Commentaire">
    <w:name w:val="annotation text"/>
    <w:basedOn w:val="Normal"/>
    <w:link w:val="CommentaireCar"/>
    <w:uiPriority w:val="99"/>
    <w:unhideWhenUsed/>
    <w:rsid w:val="004A3938"/>
    <w:pPr>
      <w:spacing w:line="240" w:lineRule="auto"/>
    </w:pPr>
    <w:rPr>
      <w:sz w:val="20"/>
      <w:szCs w:val="20"/>
      <w:lang w:val="en-CA"/>
    </w:rPr>
  </w:style>
  <w:style w:type="character" w:customStyle="1" w:styleId="CommentaireCar">
    <w:name w:val="Commentaire Car"/>
    <w:basedOn w:val="Policepardfaut"/>
    <w:link w:val="Commentaire"/>
    <w:uiPriority w:val="99"/>
    <w:rsid w:val="004A3938"/>
    <w:rPr>
      <w:rFonts w:ascii="Calibri" w:eastAsia="Calibri" w:hAnsi="Calibri" w:cs="Calibri"/>
      <w:color w:val="000000"/>
      <w:kern w:val="0"/>
      <w:sz w:val="20"/>
      <w:szCs w:val="20"/>
      <w:lang w:val="en-CA" w:eastAsia="es-AR"/>
      <w14:ligatures w14:val="none"/>
    </w:rPr>
  </w:style>
  <w:style w:type="paragraph" w:styleId="NormalWeb">
    <w:name w:val="Normal (Web)"/>
    <w:basedOn w:val="Normal"/>
    <w:uiPriority w:val="99"/>
    <w:semiHidden/>
    <w:unhideWhenUsed/>
    <w:rsid w:val="00131C66"/>
    <w:pPr>
      <w:spacing w:before="100" w:beforeAutospacing="1" w:after="100" w:afterAutospacing="1" w:line="240" w:lineRule="auto"/>
      <w:ind w:left="0" w:firstLine="0"/>
      <w:jc w:val="left"/>
    </w:pPr>
    <w:rPr>
      <w:rFonts w:ascii="Times New Roman" w:eastAsia="Times New Roman" w:hAnsi="Times New Roman" w:cs="Times New Roman"/>
      <w:color w:val="auto"/>
      <w:szCs w:val="24"/>
      <w:lang w:eastAsia="fr-FR"/>
    </w:rPr>
  </w:style>
  <w:style w:type="paragraph" w:styleId="Rvision">
    <w:name w:val="Revision"/>
    <w:hidden/>
    <w:uiPriority w:val="99"/>
    <w:semiHidden/>
    <w:rsid w:val="00982698"/>
    <w:pPr>
      <w:spacing w:after="0" w:line="240" w:lineRule="auto"/>
    </w:pPr>
    <w:rPr>
      <w:rFonts w:ascii="Calibri" w:eastAsia="Calibri" w:hAnsi="Calibri" w:cs="Calibri"/>
      <w:color w:val="000000"/>
      <w:kern w:val="0"/>
      <w:szCs w:val="22"/>
      <w:lang w:eastAsia="es-AR"/>
      <w14:ligatures w14:val="none"/>
    </w:rPr>
  </w:style>
  <w:style w:type="paragraph" w:styleId="Textedebulles">
    <w:name w:val="Balloon Text"/>
    <w:basedOn w:val="Normal"/>
    <w:link w:val="TextedebullesCar"/>
    <w:uiPriority w:val="99"/>
    <w:semiHidden/>
    <w:unhideWhenUsed/>
    <w:rsid w:val="00BC71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712B"/>
    <w:rPr>
      <w:rFonts w:ascii="Segoe UI" w:eastAsia="Calibri" w:hAnsi="Segoe UI" w:cs="Segoe UI"/>
      <w:color w:val="000000"/>
      <w:kern w:val="0"/>
      <w:sz w:val="18"/>
      <w:szCs w:val="18"/>
      <w:lang w:eastAsia="es-A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8428">
      <w:bodyDiv w:val="1"/>
      <w:marLeft w:val="0"/>
      <w:marRight w:val="0"/>
      <w:marTop w:val="0"/>
      <w:marBottom w:val="0"/>
      <w:divBdr>
        <w:top w:val="none" w:sz="0" w:space="0" w:color="auto"/>
        <w:left w:val="none" w:sz="0" w:space="0" w:color="auto"/>
        <w:bottom w:val="none" w:sz="0" w:space="0" w:color="auto"/>
        <w:right w:val="none" w:sz="0" w:space="0" w:color="auto"/>
      </w:divBdr>
    </w:div>
    <w:div w:id="53085473">
      <w:bodyDiv w:val="1"/>
      <w:marLeft w:val="0"/>
      <w:marRight w:val="0"/>
      <w:marTop w:val="0"/>
      <w:marBottom w:val="0"/>
      <w:divBdr>
        <w:top w:val="none" w:sz="0" w:space="0" w:color="auto"/>
        <w:left w:val="none" w:sz="0" w:space="0" w:color="auto"/>
        <w:bottom w:val="none" w:sz="0" w:space="0" w:color="auto"/>
        <w:right w:val="none" w:sz="0" w:space="0" w:color="auto"/>
      </w:divBdr>
    </w:div>
    <w:div w:id="173039387">
      <w:bodyDiv w:val="1"/>
      <w:marLeft w:val="0"/>
      <w:marRight w:val="0"/>
      <w:marTop w:val="0"/>
      <w:marBottom w:val="0"/>
      <w:divBdr>
        <w:top w:val="none" w:sz="0" w:space="0" w:color="auto"/>
        <w:left w:val="none" w:sz="0" w:space="0" w:color="auto"/>
        <w:bottom w:val="none" w:sz="0" w:space="0" w:color="auto"/>
        <w:right w:val="none" w:sz="0" w:space="0" w:color="auto"/>
      </w:divBdr>
    </w:div>
    <w:div w:id="289285722">
      <w:bodyDiv w:val="1"/>
      <w:marLeft w:val="0"/>
      <w:marRight w:val="0"/>
      <w:marTop w:val="0"/>
      <w:marBottom w:val="0"/>
      <w:divBdr>
        <w:top w:val="none" w:sz="0" w:space="0" w:color="auto"/>
        <w:left w:val="none" w:sz="0" w:space="0" w:color="auto"/>
        <w:bottom w:val="none" w:sz="0" w:space="0" w:color="auto"/>
        <w:right w:val="none" w:sz="0" w:space="0" w:color="auto"/>
      </w:divBdr>
    </w:div>
    <w:div w:id="643464063">
      <w:bodyDiv w:val="1"/>
      <w:marLeft w:val="0"/>
      <w:marRight w:val="0"/>
      <w:marTop w:val="0"/>
      <w:marBottom w:val="0"/>
      <w:divBdr>
        <w:top w:val="none" w:sz="0" w:space="0" w:color="auto"/>
        <w:left w:val="none" w:sz="0" w:space="0" w:color="auto"/>
        <w:bottom w:val="none" w:sz="0" w:space="0" w:color="auto"/>
        <w:right w:val="none" w:sz="0" w:space="0" w:color="auto"/>
      </w:divBdr>
    </w:div>
    <w:div w:id="937062676">
      <w:bodyDiv w:val="1"/>
      <w:marLeft w:val="0"/>
      <w:marRight w:val="0"/>
      <w:marTop w:val="0"/>
      <w:marBottom w:val="0"/>
      <w:divBdr>
        <w:top w:val="none" w:sz="0" w:space="0" w:color="auto"/>
        <w:left w:val="none" w:sz="0" w:space="0" w:color="auto"/>
        <w:bottom w:val="none" w:sz="0" w:space="0" w:color="auto"/>
        <w:right w:val="none" w:sz="0" w:space="0" w:color="auto"/>
      </w:divBdr>
    </w:div>
    <w:div w:id="974683149">
      <w:bodyDiv w:val="1"/>
      <w:marLeft w:val="0"/>
      <w:marRight w:val="0"/>
      <w:marTop w:val="0"/>
      <w:marBottom w:val="0"/>
      <w:divBdr>
        <w:top w:val="none" w:sz="0" w:space="0" w:color="auto"/>
        <w:left w:val="none" w:sz="0" w:space="0" w:color="auto"/>
        <w:bottom w:val="none" w:sz="0" w:space="0" w:color="auto"/>
        <w:right w:val="none" w:sz="0" w:space="0" w:color="auto"/>
      </w:divBdr>
    </w:div>
    <w:div w:id="146931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ippi.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F2E81-7D27-4E71-A2FB-800AD3CC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731</Words>
  <Characters>4025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Zeina ALAM</dc:creator>
  <cp:keywords/>
  <dc:description/>
  <cp:lastModifiedBy>Emily GUTH</cp:lastModifiedBy>
  <cp:revision>3</cp:revision>
  <dcterms:created xsi:type="dcterms:W3CDTF">2024-11-13T17:01:00Z</dcterms:created>
  <dcterms:modified xsi:type="dcterms:W3CDTF">2024-11-13T17:17:00Z</dcterms:modified>
</cp:coreProperties>
</file>