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3EA40" w14:textId="4FECACD1" w:rsidR="00777475" w:rsidRPr="00777475" w:rsidRDefault="009B0C48" w:rsidP="009B0C48">
      <w:pPr>
        <w:jc w:val="right"/>
        <w:rPr>
          <w:lang w:val="fr-FR"/>
        </w:rPr>
      </w:pPr>
      <w:r w:rsidRPr="00845A12">
        <w:rPr>
          <w:noProof/>
          <w:lang w:val="fr-FR"/>
        </w:rPr>
        <w:drawing>
          <wp:inline distT="0" distB="0" distL="0" distR="0" wp14:anchorId="45AEA12C" wp14:editId="6F7FB7B7">
            <wp:extent cx="1616659" cy="1060389"/>
            <wp:effectExtent l="0" t="0" r="0" b="0"/>
            <wp:docPr id="232166981" name="Image 1" descr="Une image contenant Polic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66981" name="Image 1" descr="Une image contenant Police, logo, symbole, Graphique&#10;&#10;Description générée automatiquement"/>
                    <pic:cNvPicPr/>
                  </pic:nvPicPr>
                  <pic:blipFill>
                    <a:blip r:embed="rId8"/>
                    <a:stretch>
                      <a:fillRect/>
                    </a:stretch>
                  </pic:blipFill>
                  <pic:spPr>
                    <a:xfrm>
                      <a:off x="0" y="0"/>
                      <a:ext cx="1623677" cy="1064992"/>
                    </a:xfrm>
                    <a:prstGeom prst="rect">
                      <a:avLst/>
                    </a:prstGeom>
                  </pic:spPr>
                </pic:pic>
              </a:graphicData>
            </a:graphic>
          </wp:inline>
        </w:drawing>
      </w:r>
    </w:p>
    <w:p w14:paraId="0EDAB01D" w14:textId="3428C12C" w:rsidR="004626C5" w:rsidRPr="00233A17" w:rsidRDefault="004626C5" w:rsidP="00777475">
      <w:pPr>
        <w:rPr>
          <w:lang w:val="fr-FR"/>
        </w:rPr>
      </w:pPr>
      <w:r w:rsidRPr="00233A17">
        <w:rPr>
          <w:lang w:val="fr-FR"/>
        </w:rPr>
        <w:t>Congrès Mondial</w:t>
      </w:r>
      <w:r w:rsidR="00233A17" w:rsidRPr="00233A17">
        <w:rPr>
          <w:lang w:val="fr-FR"/>
        </w:rPr>
        <w:t xml:space="preserve"> de l’</w:t>
      </w:r>
      <w:r w:rsidRPr="00233A17">
        <w:rPr>
          <w:lang w:val="fr-FR"/>
        </w:rPr>
        <w:t xml:space="preserve"> AIPPI 2024 – Hangzhou </w:t>
      </w:r>
    </w:p>
    <w:p w14:paraId="0F2BE3ED" w14:textId="1749454B" w:rsidR="004626C5" w:rsidRPr="00233A17" w:rsidRDefault="004626C5" w:rsidP="00777475">
      <w:pPr>
        <w:rPr>
          <w:lang w:val="fr-FR"/>
        </w:rPr>
      </w:pPr>
      <w:r w:rsidRPr="00233A17">
        <w:rPr>
          <w:lang w:val="fr-FR"/>
        </w:rPr>
        <w:t xml:space="preserve">Résolution </w:t>
      </w:r>
      <w:r w:rsidR="00233A17">
        <w:rPr>
          <w:lang w:val="fr-FR"/>
        </w:rPr>
        <w:t>adoptée</w:t>
      </w:r>
      <w:r w:rsidRPr="00233A17">
        <w:rPr>
          <w:lang w:val="fr-FR"/>
        </w:rPr>
        <w:t xml:space="preserve"> </w:t>
      </w:r>
    </w:p>
    <w:p w14:paraId="66B69448" w14:textId="34B73A32" w:rsidR="004626C5" w:rsidRPr="00233A17" w:rsidRDefault="004626C5" w:rsidP="00777475">
      <w:pPr>
        <w:rPr>
          <w:lang w:val="fr-FR"/>
        </w:rPr>
      </w:pPr>
      <w:r w:rsidRPr="00233A17">
        <w:rPr>
          <w:lang w:val="fr-FR"/>
        </w:rPr>
        <w:t>2</w:t>
      </w:r>
      <w:r w:rsidR="00233A17">
        <w:rPr>
          <w:lang w:val="fr-FR"/>
        </w:rPr>
        <w:t>2</w:t>
      </w:r>
      <w:r w:rsidRPr="00233A17">
        <w:rPr>
          <w:lang w:val="fr-FR"/>
        </w:rPr>
        <w:t xml:space="preserve"> octobre 2024</w:t>
      </w:r>
    </w:p>
    <w:p w14:paraId="06E00EB7" w14:textId="77777777" w:rsidR="009B0C48" w:rsidRPr="00845A12" w:rsidRDefault="009B0C48" w:rsidP="009B0C48">
      <w:pPr>
        <w:jc w:val="center"/>
        <w:rPr>
          <w:b/>
          <w:bCs/>
          <w:lang w:val="fr-FR"/>
        </w:rPr>
      </w:pPr>
    </w:p>
    <w:p w14:paraId="167254A0" w14:textId="77777777" w:rsidR="009B0C48" w:rsidRPr="00845A12" w:rsidRDefault="009B0C48" w:rsidP="009B0C48">
      <w:pPr>
        <w:jc w:val="center"/>
        <w:rPr>
          <w:b/>
          <w:bCs/>
          <w:lang w:val="fr-FR"/>
        </w:rPr>
      </w:pPr>
    </w:p>
    <w:p w14:paraId="2D3CCCEA" w14:textId="1296BA09" w:rsidR="00777475" w:rsidRPr="00777475" w:rsidRDefault="00777475" w:rsidP="009B0C48">
      <w:pPr>
        <w:jc w:val="center"/>
        <w:rPr>
          <w:lang w:val="fr-FR"/>
        </w:rPr>
      </w:pPr>
      <w:r w:rsidRPr="00777475">
        <w:rPr>
          <w:b/>
          <w:bCs/>
          <w:lang w:val="fr-FR"/>
        </w:rPr>
        <w:t>R</w:t>
      </w:r>
      <w:r w:rsidR="004626C5">
        <w:rPr>
          <w:b/>
          <w:bCs/>
          <w:lang w:val="fr-FR"/>
        </w:rPr>
        <w:t>é</w:t>
      </w:r>
      <w:r w:rsidRPr="00777475">
        <w:rPr>
          <w:b/>
          <w:bCs/>
          <w:lang w:val="fr-FR"/>
        </w:rPr>
        <w:t>solution</w:t>
      </w:r>
    </w:p>
    <w:p w14:paraId="28C1EC2F" w14:textId="63ABCCCF" w:rsidR="00210606" w:rsidRPr="004626C5" w:rsidRDefault="00210606" w:rsidP="009B0C48">
      <w:pPr>
        <w:jc w:val="center"/>
        <w:rPr>
          <w:i/>
          <w:iCs/>
          <w:lang w:val="fr-FR"/>
        </w:rPr>
      </w:pPr>
      <w:r w:rsidRPr="004626C5">
        <w:rPr>
          <w:b/>
          <w:bCs/>
          <w:i/>
          <w:iCs/>
          <w:lang w:val="fr-FR"/>
        </w:rPr>
        <w:t xml:space="preserve">2024 – </w:t>
      </w:r>
      <w:r w:rsidR="00233A17">
        <w:rPr>
          <w:b/>
          <w:bCs/>
          <w:i/>
          <w:iCs/>
          <w:lang w:val="fr-FR"/>
        </w:rPr>
        <w:t>Question à l’étude</w:t>
      </w:r>
      <w:r w:rsidRPr="004626C5">
        <w:rPr>
          <w:b/>
          <w:bCs/>
          <w:i/>
          <w:iCs/>
          <w:lang w:val="fr-FR"/>
        </w:rPr>
        <w:t xml:space="preserve"> – Brevets </w:t>
      </w:r>
    </w:p>
    <w:p w14:paraId="45840D7F" w14:textId="7C4C8AFF" w:rsidR="00210606" w:rsidRPr="00233A17" w:rsidRDefault="00210606" w:rsidP="009B0C48">
      <w:pPr>
        <w:jc w:val="center"/>
        <w:rPr>
          <w:lang w:val="fr-FR"/>
        </w:rPr>
      </w:pPr>
      <w:r w:rsidRPr="00233A17">
        <w:rPr>
          <w:b/>
          <w:bCs/>
          <w:lang w:val="fr-FR"/>
        </w:rPr>
        <w:t xml:space="preserve">Harmonisation des </w:t>
      </w:r>
      <w:r w:rsidR="00C93F7A">
        <w:rPr>
          <w:b/>
          <w:bCs/>
          <w:lang w:val="fr-FR"/>
        </w:rPr>
        <w:t>exigences en matière</w:t>
      </w:r>
      <w:r w:rsidRPr="00233A17">
        <w:rPr>
          <w:b/>
          <w:bCs/>
          <w:lang w:val="fr-FR"/>
        </w:rPr>
        <w:t xml:space="preserve"> de divulgation et conséquences de </w:t>
      </w:r>
      <w:proofErr w:type="gramStart"/>
      <w:r w:rsidRPr="00233A17">
        <w:rPr>
          <w:b/>
          <w:bCs/>
          <w:lang w:val="fr-FR"/>
        </w:rPr>
        <w:t>leurs non</w:t>
      </w:r>
      <w:r w:rsidR="00233A17" w:rsidRPr="00233A17">
        <w:rPr>
          <w:b/>
          <w:bCs/>
          <w:lang w:val="fr-FR"/>
        </w:rPr>
        <w:t>-</w:t>
      </w:r>
      <w:r w:rsidRPr="00233A17">
        <w:rPr>
          <w:b/>
          <w:bCs/>
          <w:lang w:val="fr-FR"/>
        </w:rPr>
        <w:t>respect</w:t>
      </w:r>
      <w:proofErr w:type="gramEnd"/>
    </w:p>
    <w:p w14:paraId="1FCCB296" w14:textId="77777777" w:rsidR="009B0C48" w:rsidRPr="00845A12" w:rsidRDefault="009B0C48" w:rsidP="009B0C48">
      <w:pPr>
        <w:pBdr>
          <w:bottom w:val="single" w:sz="4" w:space="1" w:color="auto"/>
        </w:pBdr>
        <w:jc w:val="center"/>
        <w:rPr>
          <w:b/>
          <w:bCs/>
          <w:lang w:val="fr-FR"/>
        </w:rPr>
      </w:pPr>
    </w:p>
    <w:p w14:paraId="151C7305" w14:textId="77777777" w:rsidR="009B0C48" w:rsidRPr="00845A12" w:rsidRDefault="009B0C48" w:rsidP="009B0C48">
      <w:pPr>
        <w:jc w:val="center"/>
        <w:rPr>
          <w:b/>
          <w:bCs/>
          <w:lang w:val="fr-FR"/>
        </w:rPr>
      </w:pPr>
    </w:p>
    <w:p w14:paraId="28CF334E" w14:textId="2D909AD2" w:rsidR="00210606" w:rsidRPr="004626C5" w:rsidRDefault="00210606" w:rsidP="009B0C48">
      <w:pPr>
        <w:rPr>
          <w:i/>
          <w:iCs/>
          <w:lang w:val="fr-FR"/>
        </w:rPr>
      </w:pPr>
      <w:r w:rsidRPr="004626C5">
        <w:rPr>
          <w:b/>
          <w:bCs/>
          <w:i/>
          <w:iCs/>
          <w:lang w:val="fr-FR"/>
        </w:rPr>
        <w:t xml:space="preserve">Contexte : </w:t>
      </w:r>
    </w:p>
    <w:p w14:paraId="21B21552" w14:textId="77777777" w:rsidR="009B0C48" w:rsidRPr="00845A12" w:rsidRDefault="009B0C48" w:rsidP="00777475">
      <w:pPr>
        <w:rPr>
          <w:lang w:val="fr-FR"/>
        </w:rPr>
      </w:pPr>
    </w:p>
    <w:p w14:paraId="7BCF0073" w14:textId="5D838BCA" w:rsidR="00210606" w:rsidRPr="00233A17" w:rsidRDefault="00777475" w:rsidP="00233A17">
      <w:pPr>
        <w:spacing w:line="360" w:lineRule="auto"/>
        <w:ind w:left="567" w:hanging="567"/>
        <w:rPr>
          <w:lang w:val="fr-FR"/>
        </w:rPr>
      </w:pPr>
      <w:r w:rsidRPr="00777475">
        <w:rPr>
          <w:lang w:val="fr-FR"/>
        </w:rPr>
        <w:t xml:space="preserve">1) </w:t>
      </w:r>
      <w:r w:rsidR="009B0C48" w:rsidRPr="00845A12">
        <w:rPr>
          <w:lang w:val="fr-FR"/>
        </w:rPr>
        <w:tab/>
      </w:r>
      <w:r w:rsidR="00210606" w:rsidRPr="00233A17">
        <w:rPr>
          <w:lang w:val="fr-FR"/>
        </w:rPr>
        <w:t xml:space="preserve">Cette </w:t>
      </w:r>
      <w:r w:rsidR="00233A17" w:rsidRPr="00233A17">
        <w:rPr>
          <w:lang w:val="fr-FR"/>
        </w:rPr>
        <w:t>résolution</w:t>
      </w:r>
      <w:r w:rsidR="00210606" w:rsidRPr="00233A17">
        <w:rPr>
          <w:lang w:val="fr-FR"/>
        </w:rPr>
        <w:t xml:space="preserve"> concerne l’harmonisation des </w:t>
      </w:r>
      <w:r w:rsidR="00C93F7A">
        <w:rPr>
          <w:lang w:val="fr-FR"/>
        </w:rPr>
        <w:t>exigences en matière</w:t>
      </w:r>
      <w:r w:rsidR="00210606" w:rsidRPr="00233A17">
        <w:rPr>
          <w:lang w:val="fr-FR"/>
        </w:rPr>
        <w:t xml:space="preserve"> de divulgation et conséquences de leur non</w:t>
      </w:r>
      <w:r w:rsidR="00233A17" w:rsidRPr="00233A17">
        <w:rPr>
          <w:lang w:val="fr-FR"/>
        </w:rPr>
        <w:t>-</w:t>
      </w:r>
      <w:r w:rsidR="00210606" w:rsidRPr="00233A17">
        <w:rPr>
          <w:lang w:val="fr-FR"/>
        </w:rPr>
        <w:t>respect</w:t>
      </w:r>
      <w:r w:rsidR="00233A17" w:rsidRPr="00233A17">
        <w:rPr>
          <w:lang w:val="fr-FR"/>
        </w:rPr>
        <w:t>.</w:t>
      </w:r>
    </w:p>
    <w:p w14:paraId="4F9E258A" w14:textId="1A96B574" w:rsidR="00D453CB" w:rsidRPr="00233A17" w:rsidRDefault="00777475" w:rsidP="00233A17">
      <w:pPr>
        <w:spacing w:line="360" w:lineRule="auto"/>
        <w:ind w:left="567" w:hanging="567"/>
        <w:rPr>
          <w:lang w:val="fr-FR"/>
        </w:rPr>
      </w:pPr>
      <w:r w:rsidRPr="00777475">
        <w:rPr>
          <w:lang w:val="fr-FR"/>
        </w:rPr>
        <w:t xml:space="preserve">2) </w:t>
      </w:r>
      <w:r w:rsidR="009B0C48" w:rsidRPr="00845A12">
        <w:rPr>
          <w:lang w:val="fr-FR"/>
        </w:rPr>
        <w:tab/>
      </w:r>
      <w:r w:rsidR="00D453CB" w:rsidRPr="00233A17">
        <w:rPr>
          <w:lang w:val="fr-FR"/>
        </w:rPr>
        <w:t>Les lois de certaine</w:t>
      </w:r>
      <w:r w:rsidR="00B27A17" w:rsidRPr="00233A17">
        <w:rPr>
          <w:lang w:val="fr-FR"/>
        </w:rPr>
        <w:t>s</w:t>
      </w:r>
      <w:r w:rsidR="00D453CB" w:rsidRPr="00233A17">
        <w:rPr>
          <w:lang w:val="fr-FR"/>
        </w:rPr>
        <w:t xml:space="preserve"> juridictions exigent que les demandeurs de brevets divulguent l’</w:t>
      </w:r>
      <w:r w:rsidR="00233A17">
        <w:rPr>
          <w:lang w:val="fr-FR"/>
        </w:rPr>
        <w:t>a</w:t>
      </w:r>
      <w:r w:rsidR="00D453CB" w:rsidRPr="00233A17">
        <w:rPr>
          <w:lang w:val="fr-FR"/>
        </w:rPr>
        <w:t xml:space="preserve">rt </w:t>
      </w:r>
      <w:r w:rsidR="00233A17">
        <w:rPr>
          <w:lang w:val="fr-FR"/>
        </w:rPr>
        <w:t>a</w:t>
      </w:r>
      <w:r w:rsidR="00D453CB" w:rsidRPr="00233A17">
        <w:rPr>
          <w:lang w:val="fr-FR"/>
        </w:rPr>
        <w:t xml:space="preserve">ntérieur à l’office de brevet, un tel art antérieur devant être </w:t>
      </w:r>
      <w:r w:rsidR="00233A17">
        <w:rPr>
          <w:lang w:val="fr-FR"/>
        </w:rPr>
        <w:t>considéré</w:t>
      </w:r>
      <w:r w:rsidR="00D453CB" w:rsidRPr="00233A17">
        <w:rPr>
          <w:lang w:val="fr-FR"/>
        </w:rPr>
        <w:t xml:space="preserve"> comme </w:t>
      </w:r>
      <w:r w:rsidR="004626C5" w:rsidRPr="00233A17">
        <w:rPr>
          <w:lang w:val="fr-FR"/>
        </w:rPr>
        <w:t>pertinent</w:t>
      </w:r>
      <w:r w:rsidR="00D453CB" w:rsidRPr="00233A17">
        <w:rPr>
          <w:lang w:val="fr-FR"/>
        </w:rPr>
        <w:t xml:space="preserve"> pour l’évaluation de la nouveauté et/ou de l’activité inventive des revendications. D’une part, une telle obligation augmente le travail des demandeurs et par </w:t>
      </w:r>
      <w:r w:rsidR="004626C5" w:rsidRPr="00233A17">
        <w:rPr>
          <w:lang w:val="fr-FR"/>
        </w:rPr>
        <w:t>conséquent</w:t>
      </w:r>
      <w:r w:rsidR="00D453CB" w:rsidRPr="00233A17">
        <w:rPr>
          <w:lang w:val="fr-FR"/>
        </w:rPr>
        <w:t xml:space="preserve"> les coûts associés au dépôt de demandes de brevets. D’autre part, une telle obligation peut être utile pour l’efficacité du système dans la mesure où il permet un meilleur examen des demandes de brevet si l’office de brevets a l’opportunité de prendre en </w:t>
      </w:r>
      <w:r w:rsidR="004626C5" w:rsidRPr="00233A17">
        <w:rPr>
          <w:lang w:val="fr-FR"/>
        </w:rPr>
        <w:t>considération</w:t>
      </w:r>
      <w:r w:rsidR="00D453CB" w:rsidRPr="00233A17">
        <w:rPr>
          <w:lang w:val="fr-FR"/>
        </w:rPr>
        <w:t xml:space="preserve"> et d’évaluer plus d’informations </w:t>
      </w:r>
      <w:r w:rsidR="004626C5" w:rsidRPr="00233A17">
        <w:rPr>
          <w:lang w:val="fr-FR"/>
        </w:rPr>
        <w:t>pertinentes</w:t>
      </w:r>
      <w:r w:rsidR="005C46EB" w:rsidRPr="00233A17">
        <w:rPr>
          <w:lang w:val="fr-FR"/>
        </w:rPr>
        <w:t xml:space="preserve"> ou potentiellement pertinentes en matière de brevetabilité.</w:t>
      </w:r>
    </w:p>
    <w:p w14:paraId="5702BBFC" w14:textId="55533B2B" w:rsidR="005C46EB" w:rsidRPr="00233A17" w:rsidRDefault="00777475" w:rsidP="00233A17">
      <w:pPr>
        <w:spacing w:line="360" w:lineRule="auto"/>
        <w:ind w:left="567" w:hanging="567"/>
        <w:rPr>
          <w:lang w:val="fr-FR"/>
        </w:rPr>
      </w:pPr>
      <w:r w:rsidRPr="00777475">
        <w:rPr>
          <w:lang w:val="fr-FR"/>
        </w:rPr>
        <w:lastRenderedPageBreak/>
        <w:t xml:space="preserve">3) </w:t>
      </w:r>
      <w:r w:rsidR="009B0C48" w:rsidRPr="00845A12">
        <w:rPr>
          <w:lang w:val="fr-FR"/>
        </w:rPr>
        <w:tab/>
      </w:r>
      <w:r w:rsidRPr="00777475">
        <w:rPr>
          <w:lang w:val="fr-FR"/>
        </w:rPr>
        <w:t xml:space="preserve"> </w:t>
      </w:r>
      <w:r w:rsidR="005C46EB" w:rsidRPr="00233A17">
        <w:rPr>
          <w:lang w:val="fr-FR"/>
        </w:rPr>
        <w:t xml:space="preserve">Cette </w:t>
      </w:r>
      <w:r w:rsidR="004626C5" w:rsidRPr="00233A17">
        <w:rPr>
          <w:lang w:val="fr-FR"/>
        </w:rPr>
        <w:t>résolution</w:t>
      </w:r>
      <w:r w:rsidR="005C46EB" w:rsidRPr="00233A17">
        <w:rPr>
          <w:lang w:val="fr-FR"/>
        </w:rPr>
        <w:t xml:space="preserve"> </w:t>
      </w:r>
      <w:r w:rsidR="004626C5" w:rsidRPr="00233A17">
        <w:rPr>
          <w:lang w:val="fr-FR"/>
        </w:rPr>
        <w:t>détermine</w:t>
      </w:r>
      <w:r w:rsidR="005C46EB" w:rsidRPr="00233A17">
        <w:rPr>
          <w:lang w:val="fr-FR"/>
        </w:rPr>
        <w:t xml:space="preserve"> si, et dans quelle mesure, une </w:t>
      </w:r>
      <w:r w:rsidR="00C93F7A">
        <w:rPr>
          <w:lang w:val="fr-FR"/>
        </w:rPr>
        <w:t>exigence en matière</w:t>
      </w:r>
      <w:r w:rsidR="005C46EB" w:rsidRPr="00233A17">
        <w:rPr>
          <w:lang w:val="fr-FR"/>
        </w:rPr>
        <w:t xml:space="preserve"> de divulgation devrait être impos</w:t>
      </w:r>
      <w:r w:rsidR="00233A17">
        <w:rPr>
          <w:lang w:val="fr-FR"/>
        </w:rPr>
        <w:t>ée</w:t>
      </w:r>
      <w:r w:rsidR="005C46EB" w:rsidRPr="00233A17">
        <w:rPr>
          <w:lang w:val="fr-FR"/>
        </w:rPr>
        <w:t xml:space="preserve"> durant la </w:t>
      </w:r>
      <w:r w:rsidR="004626C5" w:rsidRPr="00233A17">
        <w:rPr>
          <w:lang w:val="fr-FR"/>
        </w:rPr>
        <w:t>procédure</w:t>
      </w:r>
      <w:r w:rsidR="005C46EB" w:rsidRPr="00233A17">
        <w:rPr>
          <w:lang w:val="fr-FR"/>
        </w:rPr>
        <w:t xml:space="preserve"> d’une demande </w:t>
      </w:r>
      <w:r w:rsidR="00233A17">
        <w:rPr>
          <w:lang w:val="fr-FR"/>
        </w:rPr>
        <w:t>d</w:t>
      </w:r>
      <w:r w:rsidR="005C46EB" w:rsidRPr="00233A17">
        <w:rPr>
          <w:lang w:val="fr-FR"/>
        </w:rPr>
        <w:t xml:space="preserve">e brevet et après la </w:t>
      </w:r>
      <w:r w:rsidR="004626C5" w:rsidRPr="00233A17">
        <w:rPr>
          <w:lang w:val="fr-FR"/>
        </w:rPr>
        <w:t>délivrance</w:t>
      </w:r>
      <w:r w:rsidR="005C46EB" w:rsidRPr="00233A17">
        <w:rPr>
          <w:lang w:val="fr-FR"/>
        </w:rPr>
        <w:t xml:space="preserve">, et quelles sanctions devraient être appliquées en cas </w:t>
      </w:r>
      <w:r w:rsidR="004626C5" w:rsidRPr="00233A17">
        <w:rPr>
          <w:lang w:val="fr-FR"/>
        </w:rPr>
        <w:t>d</w:t>
      </w:r>
      <w:r w:rsidR="005C46EB" w:rsidRPr="00233A17">
        <w:rPr>
          <w:lang w:val="fr-FR"/>
        </w:rPr>
        <w:t>e non</w:t>
      </w:r>
      <w:r w:rsidR="00233A17" w:rsidRPr="00233A17">
        <w:rPr>
          <w:lang w:val="fr-FR"/>
        </w:rPr>
        <w:t>-</w:t>
      </w:r>
      <w:r w:rsidR="005C46EB" w:rsidRPr="00233A17">
        <w:rPr>
          <w:lang w:val="fr-FR"/>
        </w:rPr>
        <w:t>respect de ces obligations.</w:t>
      </w:r>
    </w:p>
    <w:p w14:paraId="01C17AFE" w14:textId="512484A4" w:rsidR="005C46EB" w:rsidRPr="00233A17" w:rsidRDefault="00777475" w:rsidP="00233A17">
      <w:pPr>
        <w:spacing w:line="360" w:lineRule="auto"/>
        <w:ind w:left="567" w:hanging="567"/>
        <w:rPr>
          <w:lang w:val="fr-FR"/>
        </w:rPr>
      </w:pPr>
      <w:r w:rsidRPr="00777475">
        <w:rPr>
          <w:lang w:val="fr-FR"/>
        </w:rPr>
        <w:t xml:space="preserve">4) </w:t>
      </w:r>
      <w:r w:rsidR="009B0C48" w:rsidRPr="00845A12">
        <w:rPr>
          <w:lang w:val="fr-FR"/>
        </w:rPr>
        <w:tab/>
      </w:r>
      <w:r w:rsidRPr="00777475">
        <w:rPr>
          <w:lang w:val="fr-FR"/>
        </w:rPr>
        <w:t xml:space="preserve"> </w:t>
      </w:r>
      <w:r w:rsidR="005C46EB" w:rsidRPr="00233A17">
        <w:rPr>
          <w:lang w:val="fr-FR"/>
        </w:rPr>
        <w:t>40 rapports ont été reçus des group</w:t>
      </w:r>
      <w:r w:rsidR="00233A17" w:rsidRPr="00233A17">
        <w:rPr>
          <w:lang w:val="fr-FR"/>
        </w:rPr>
        <w:t>e</w:t>
      </w:r>
      <w:r w:rsidR="005C46EB" w:rsidRPr="00233A17">
        <w:rPr>
          <w:lang w:val="fr-FR"/>
        </w:rPr>
        <w:t xml:space="preserve">s nationaux et régionaux de l’AIPPI et des Membres indépendants </w:t>
      </w:r>
      <w:r w:rsidR="004626C5" w:rsidRPr="00233A17">
        <w:rPr>
          <w:lang w:val="fr-FR"/>
        </w:rPr>
        <w:t>fournissant</w:t>
      </w:r>
      <w:r w:rsidR="005C46EB" w:rsidRPr="00233A17">
        <w:rPr>
          <w:lang w:val="fr-FR"/>
        </w:rPr>
        <w:t xml:space="preserve"> des informations </w:t>
      </w:r>
      <w:r w:rsidR="00233A17" w:rsidRPr="00233A17">
        <w:rPr>
          <w:lang w:val="fr-FR"/>
        </w:rPr>
        <w:t>analyses détaillées sur les législations nationales et régionales relatives à cette résolution</w:t>
      </w:r>
      <w:r w:rsidR="005C46EB" w:rsidRPr="00233A17">
        <w:rPr>
          <w:lang w:val="fr-FR"/>
        </w:rPr>
        <w:t xml:space="preserve">. Ces rapports ont été revus par l’équipe du Rapporteur </w:t>
      </w:r>
      <w:r w:rsidR="004626C5" w:rsidRPr="00233A17">
        <w:rPr>
          <w:lang w:val="fr-FR"/>
        </w:rPr>
        <w:t>général</w:t>
      </w:r>
      <w:r w:rsidR="005C46EB" w:rsidRPr="00233A17">
        <w:rPr>
          <w:lang w:val="fr-FR"/>
        </w:rPr>
        <w:t xml:space="preserve"> et compil</w:t>
      </w:r>
      <w:r w:rsidR="00233A17" w:rsidRPr="00233A17">
        <w:rPr>
          <w:lang w:val="fr-FR"/>
        </w:rPr>
        <w:t>ée</w:t>
      </w:r>
      <w:r w:rsidR="005C46EB" w:rsidRPr="00233A17">
        <w:rPr>
          <w:lang w:val="fr-FR"/>
        </w:rPr>
        <w:t xml:space="preserve">s en un Rapport de synthèse (qui peut être </w:t>
      </w:r>
      <w:r w:rsidR="00233A17" w:rsidRPr="00233A17">
        <w:rPr>
          <w:lang w:val="fr-FR"/>
        </w:rPr>
        <w:t>consulté</w:t>
      </w:r>
      <w:r w:rsidR="005C46EB" w:rsidRPr="00233A17">
        <w:rPr>
          <w:lang w:val="fr-FR"/>
        </w:rPr>
        <w:t xml:space="preserve"> sur www.aippi.org)</w:t>
      </w:r>
      <w:r w:rsidR="00233A17" w:rsidRPr="00233A17">
        <w:rPr>
          <w:lang w:val="fr-FR"/>
        </w:rPr>
        <w:t>.</w:t>
      </w:r>
    </w:p>
    <w:p w14:paraId="4B991281" w14:textId="30939C12" w:rsidR="005C46EB" w:rsidRPr="00233A17" w:rsidRDefault="00777475" w:rsidP="00233A17">
      <w:pPr>
        <w:spacing w:line="360" w:lineRule="auto"/>
        <w:ind w:left="567" w:hanging="567"/>
        <w:rPr>
          <w:lang w:val="fr-FR"/>
        </w:rPr>
      </w:pPr>
      <w:r w:rsidRPr="00777475">
        <w:rPr>
          <w:lang w:val="fr-FR"/>
        </w:rPr>
        <w:t xml:space="preserve">5) </w:t>
      </w:r>
      <w:r w:rsidR="009B0C48" w:rsidRPr="00845A12">
        <w:rPr>
          <w:lang w:val="fr-FR"/>
        </w:rPr>
        <w:tab/>
      </w:r>
      <w:r w:rsidRPr="00777475">
        <w:rPr>
          <w:lang w:val="fr-FR"/>
        </w:rPr>
        <w:t xml:space="preserve"> </w:t>
      </w:r>
      <w:r w:rsidR="005C46EB" w:rsidRPr="00233A17">
        <w:rPr>
          <w:lang w:val="fr-FR"/>
        </w:rPr>
        <w:t xml:space="preserve">Lors du Congrès Mondial de l’AIPPI à Hangzhou en 2024, l’objet de cette </w:t>
      </w:r>
      <w:r w:rsidR="004626C5" w:rsidRPr="00233A17">
        <w:rPr>
          <w:lang w:val="fr-FR"/>
        </w:rPr>
        <w:t>résolution</w:t>
      </w:r>
      <w:r w:rsidR="005C46EB" w:rsidRPr="00233A17">
        <w:rPr>
          <w:lang w:val="fr-FR"/>
        </w:rPr>
        <w:t xml:space="preserve"> a été en outre discuté dans un Comité d’étude dédié, </w:t>
      </w:r>
      <w:r w:rsidR="00233A17" w:rsidRPr="00233A17">
        <w:rPr>
          <w:lang w:val="fr-FR"/>
        </w:rPr>
        <w:t>puis</w:t>
      </w:r>
      <w:r w:rsidR="005C46EB" w:rsidRPr="00233A17">
        <w:rPr>
          <w:lang w:val="fr-FR"/>
        </w:rPr>
        <w:t xml:space="preserve"> lors d’une séance plénière, à la suite de </w:t>
      </w:r>
      <w:r w:rsidR="00233A17" w:rsidRPr="00233A17">
        <w:rPr>
          <w:lang w:val="fr-FR"/>
        </w:rPr>
        <w:t>laquelle</w:t>
      </w:r>
      <w:r w:rsidR="005C46EB" w:rsidRPr="00233A17">
        <w:rPr>
          <w:lang w:val="fr-FR"/>
        </w:rPr>
        <w:t xml:space="preserve"> la </w:t>
      </w:r>
      <w:r w:rsidR="004626C5" w:rsidRPr="00233A17">
        <w:rPr>
          <w:lang w:val="fr-FR"/>
        </w:rPr>
        <w:t>présente</w:t>
      </w:r>
      <w:r w:rsidR="005C46EB" w:rsidRPr="00233A17">
        <w:rPr>
          <w:lang w:val="fr-FR"/>
        </w:rPr>
        <w:t xml:space="preserve"> </w:t>
      </w:r>
      <w:r w:rsidR="004626C5" w:rsidRPr="00233A17">
        <w:rPr>
          <w:lang w:val="fr-FR"/>
        </w:rPr>
        <w:t>résolution</w:t>
      </w:r>
      <w:r w:rsidR="005C46EB" w:rsidRPr="00233A17">
        <w:rPr>
          <w:lang w:val="fr-FR"/>
        </w:rPr>
        <w:t xml:space="preserve"> a été </w:t>
      </w:r>
      <w:r w:rsidR="004626C5" w:rsidRPr="00233A17">
        <w:rPr>
          <w:lang w:val="fr-FR"/>
        </w:rPr>
        <w:t>adoptée</w:t>
      </w:r>
      <w:r w:rsidR="005C46EB" w:rsidRPr="00233A17">
        <w:rPr>
          <w:lang w:val="fr-FR"/>
        </w:rPr>
        <w:t xml:space="preserve"> par le Comité Exécutif de l’AIPPI.</w:t>
      </w:r>
    </w:p>
    <w:p w14:paraId="05D3E5C7" w14:textId="4D056CDB" w:rsidR="009B0C48" w:rsidRPr="00233A17" w:rsidRDefault="00777475" w:rsidP="00233A17">
      <w:pPr>
        <w:spacing w:line="360" w:lineRule="auto"/>
        <w:ind w:left="567" w:hanging="567"/>
        <w:rPr>
          <w:lang w:val="fr-FR"/>
        </w:rPr>
      </w:pPr>
      <w:r w:rsidRPr="00777475">
        <w:rPr>
          <w:lang w:val="fr-FR"/>
        </w:rPr>
        <w:t xml:space="preserve">6) </w:t>
      </w:r>
      <w:r w:rsidR="009B0C48" w:rsidRPr="00845A12">
        <w:rPr>
          <w:lang w:val="fr-FR"/>
        </w:rPr>
        <w:tab/>
      </w:r>
      <w:r w:rsidRPr="00777475">
        <w:rPr>
          <w:lang w:val="fr-FR"/>
        </w:rPr>
        <w:t xml:space="preserve"> </w:t>
      </w:r>
      <w:r w:rsidR="00B2224E" w:rsidRPr="00233A17">
        <w:rPr>
          <w:lang w:val="fr-FR"/>
        </w:rPr>
        <w:t>La présente résolution n'aborde pas les questions particulières de divulgation liées aux ressources génétiques/savoirs traditionnels (GRTK), qui ne relèvent pas du champ d'application de la résolution.</w:t>
      </w:r>
    </w:p>
    <w:p w14:paraId="065C2C09" w14:textId="68406158" w:rsidR="009B0C48" w:rsidRPr="00C93F7A" w:rsidRDefault="00B2224E" w:rsidP="00C93F7A">
      <w:pPr>
        <w:spacing w:line="360" w:lineRule="auto"/>
        <w:ind w:left="567" w:hanging="567"/>
        <w:rPr>
          <w:b/>
          <w:bCs/>
          <w:i/>
          <w:iCs/>
          <w:lang w:val="fr-FR"/>
        </w:rPr>
      </w:pPr>
      <w:r w:rsidRPr="00845A12">
        <w:rPr>
          <w:b/>
          <w:bCs/>
          <w:i/>
          <w:iCs/>
          <w:lang w:val="fr-FR"/>
        </w:rPr>
        <w:t xml:space="preserve">L’AIPPI </w:t>
      </w:r>
      <w:r w:rsidR="009E2817" w:rsidRPr="00845A12">
        <w:rPr>
          <w:b/>
          <w:bCs/>
          <w:i/>
          <w:iCs/>
          <w:lang w:val="fr-FR"/>
        </w:rPr>
        <w:t>décide</w:t>
      </w:r>
      <w:r w:rsidRPr="00845A12">
        <w:rPr>
          <w:b/>
          <w:bCs/>
          <w:i/>
          <w:iCs/>
          <w:lang w:val="fr-FR"/>
        </w:rPr>
        <w:t xml:space="preserve"> </w:t>
      </w:r>
      <w:r w:rsidR="00233A17">
        <w:rPr>
          <w:b/>
          <w:bCs/>
          <w:i/>
          <w:iCs/>
          <w:lang w:val="fr-FR"/>
        </w:rPr>
        <w:t>que</w:t>
      </w:r>
      <w:r w:rsidRPr="00845A12">
        <w:rPr>
          <w:b/>
          <w:bCs/>
          <w:i/>
          <w:iCs/>
          <w:lang w:val="fr-FR"/>
        </w:rPr>
        <w:t xml:space="preserve"> :</w:t>
      </w:r>
    </w:p>
    <w:p w14:paraId="3A6F806E" w14:textId="49077AE2" w:rsidR="00B2224E" w:rsidRPr="00233A17" w:rsidRDefault="00777475" w:rsidP="00233A17">
      <w:pPr>
        <w:spacing w:line="360" w:lineRule="auto"/>
        <w:ind w:left="567" w:hanging="567"/>
        <w:rPr>
          <w:lang w:val="fr-FR"/>
        </w:rPr>
      </w:pPr>
      <w:r w:rsidRPr="00233A17">
        <w:rPr>
          <w:lang w:val="fr-FR"/>
        </w:rPr>
        <w:t xml:space="preserve">1) </w:t>
      </w:r>
      <w:r w:rsidR="009B0C48" w:rsidRPr="00233A17">
        <w:rPr>
          <w:lang w:val="fr-FR"/>
        </w:rPr>
        <w:tab/>
      </w:r>
      <w:r w:rsidR="00B2224E" w:rsidRPr="00233A17">
        <w:rPr>
          <w:lang w:val="fr-FR"/>
        </w:rPr>
        <w:t xml:space="preserve">L’harmonisation </w:t>
      </w:r>
      <w:r w:rsidR="009D557F" w:rsidRPr="00233A17">
        <w:rPr>
          <w:lang w:val="fr-FR"/>
        </w:rPr>
        <w:t xml:space="preserve">des </w:t>
      </w:r>
      <w:r w:rsidR="00233A17" w:rsidRPr="00233A17">
        <w:rPr>
          <w:lang w:val="fr-FR"/>
        </w:rPr>
        <w:t>exigences en matière</w:t>
      </w:r>
      <w:r w:rsidR="009D557F" w:rsidRPr="00233A17">
        <w:rPr>
          <w:lang w:val="fr-FR"/>
        </w:rPr>
        <w:t xml:space="preserve"> de divulgation est souh</w:t>
      </w:r>
      <w:r w:rsidR="00B27A17" w:rsidRPr="00233A17">
        <w:rPr>
          <w:lang w:val="fr-FR"/>
        </w:rPr>
        <w:t>a</w:t>
      </w:r>
      <w:r w:rsidR="009D557F" w:rsidRPr="00233A17">
        <w:rPr>
          <w:lang w:val="fr-FR"/>
        </w:rPr>
        <w:t>itable</w:t>
      </w:r>
      <w:r w:rsidR="00233A17">
        <w:rPr>
          <w:lang w:val="fr-FR"/>
        </w:rPr>
        <w:t>.</w:t>
      </w:r>
    </w:p>
    <w:p w14:paraId="66A38B9F" w14:textId="3C019B50" w:rsidR="009D557F" w:rsidRPr="00C93F7A" w:rsidRDefault="00777475" w:rsidP="00C93F7A">
      <w:pPr>
        <w:spacing w:line="360" w:lineRule="auto"/>
        <w:ind w:left="567" w:hanging="567"/>
        <w:rPr>
          <w:lang w:val="fr-FR"/>
        </w:rPr>
      </w:pPr>
      <w:r w:rsidRPr="00C93F7A">
        <w:rPr>
          <w:lang w:val="fr-FR"/>
        </w:rPr>
        <w:t xml:space="preserve">2) </w:t>
      </w:r>
      <w:r w:rsidR="009B0C48" w:rsidRPr="00C93F7A">
        <w:rPr>
          <w:lang w:val="fr-FR"/>
        </w:rPr>
        <w:tab/>
      </w:r>
      <w:r w:rsidR="00233A17" w:rsidRPr="00C93F7A">
        <w:rPr>
          <w:lang w:val="fr-FR"/>
        </w:rPr>
        <w:t>L’expression</w:t>
      </w:r>
      <w:r w:rsidR="009D557F" w:rsidRPr="00C93F7A">
        <w:rPr>
          <w:lang w:val="fr-FR"/>
        </w:rPr>
        <w:t xml:space="preserve"> </w:t>
      </w:r>
      <w:r w:rsidR="00233A17" w:rsidRPr="00C93F7A">
        <w:rPr>
          <w:lang w:val="fr-FR"/>
        </w:rPr>
        <w:t>« </w:t>
      </w:r>
      <w:r w:rsidR="00233A17" w:rsidRPr="00C93F7A">
        <w:rPr>
          <w:lang w:val="fr-FR"/>
        </w:rPr>
        <w:t xml:space="preserve">exigences en matière </w:t>
      </w:r>
      <w:r w:rsidR="009D557F" w:rsidRPr="00C93F7A">
        <w:rPr>
          <w:lang w:val="fr-FR"/>
        </w:rPr>
        <w:t>de divulgation</w:t>
      </w:r>
      <w:r w:rsidR="00233A17" w:rsidRPr="00C93F7A">
        <w:rPr>
          <w:lang w:val="fr-FR"/>
        </w:rPr>
        <w:t xml:space="preserve"> » </w:t>
      </w:r>
      <w:r w:rsidR="009D557F" w:rsidRPr="00C93F7A">
        <w:rPr>
          <w:lang w:val="fr-FR"/>
        </w:rPr>
        <w:t>tel</w:t>
      </w:r>
      <w:r w:rsidR="00C93F7A">
        <w:rPr>
          <w:lang w:val="fr-FR"/>
        </w:rPr>
        <w:t>le</w:t>
      </w:r>
      <w:r w:rsidR="009D557F" w:rsidRPr="00C93F7A">
        <w:rPr>
          <w:lang w:val="fr-FR"/>
        </w:rPr>
        <w:t xml:space="preserve"> qu’utilisé</w:t>
      </w:r>
      <w:r w:rsidR="00233A17" w:rsidRPr="00C93F7A">
        <w:rPr>
          <w:lang w:val="fr-FR"/>
        </w:rPr>
        <w:t>e</w:t>
      </w:r>
      <w:r w:rsidR="009D557F" w:rsidRPr="00C93F7A">
        <w:rPr>
          <w:lang w:val="fr-FR"/>
        </w:rPr>
        <w:t xml:space="preserve"> ici </w:t>
      </w:r>
      <w:r w:rsidR="00233A17" w:rsidRPr="00C93F7A">
        <w:rPr>
          <w:lang w:val="fr-FR"/>
        </w:rPr>
        <w:t>désigne</w:t>
      </w:r>
      <w:r w:rsidR="009D557F" w:rsidRPr="00C93F7A">
        <w:rPr>
          <w:lang w:val="fr-FR"/>
        </w:rPr>
        <w:t xml:space="preserve"> </w:t>
      </w:r>
      <w:r w:rsidR="00233A17" w:rsidRPr="00C93F7A">
        <w:rPr>
          <w:lang w:val="fr-FR"/>
        </w:rPr>
        <w:t>« </w:t>
      </w:r>
      <w:r w:rsidR="009D557F" w:rsidRPr="00C93F7A">
        <w:rPr>
          <w:lang w:val="fr-FR"/>
        </w:rPr>
        <w:t>une obligation de citer de l’art antérieur à un Office de brevets</w:t>
      </w:r>
      <w:r w:rsidR="00233A17" w:rsidRPr="00C93F7A">
        <w:rPr>
          <w:lang w:val="fr-FR"/>
        </w:rPr>
        <w:t> »</w:t>
      </w:r>
      <w:r w:rsidR="009D557F" w:rsidRPr="00C93F7A">
        <w:rPr>
          <w:lang w:val="fr-FR"/>
        </w:rPr>
        <w:t>. L</w:t>
      </w:r>
      <w:r w:rsidR="00233A17" w:rsidRPr="00C93F7A">
        <w:rPr>
          <w:lang w:val="fr-FR"/>
        </w:rPr>
        <w:t>’expression</w:t>
      </w:r>
      <w:r w:rsidR="009D557F" w:rsidRPr="00C93F7A">
        <w:rPr>
          <w:lang w:val="fr-FR"/>
        </w:rPr>
        <w:t xml:space="preserve"> “</w:t>
      </w:r>
      <w:r w:rsidR="00233A17" w:rsidRPr="00C93F7A">
        <w:rPr>
          <w:lang w:val="fr-FR"/>
        </w:rPr>
        <w:t>a</w:t>
      </w:r>
      <w:r w:rsidR="009D557F" w:rsidRPr="00C93F7A">
        <w:rPr>
          <w:lang w:val="fr-FR"/>
        </w:rPr>
        <w:t xml:space="preserve">rt </w:t>
      </w:r>
      <w:r w:rsidR="00233A17" w:rsidRPr="00C93F7A">
        <w:rPr>
          <w:lang w:val="fr-FR"/>
        </w:rPr>
        <w:t>a</w:t>
      </w:r>
      <w:r w:rsidR="009D557F" w:rsidRPr="00C93F7A">
        <w:rPr>
          <w:lang w:val="fr-FR"/>
        </w:rPr>
        <w:t>ntérieur” tel</w:t>
      </w:r>
      <w:r w:rsidR="00233A17" w:rsidRPr="00C93F7A">
        <w:rPr>
          <w:lang w:val="fr-FR"/>
        </w:rPr>
        <w:t>le</w:t>
      </w:r>
      <w:r w:rsidR="009D557F" w:rsidRPr="00C93F7A">
        <w:rPr>
          <w:lang w:val="fr-FR"/>
        </w:rPr>
        <w:t xml:space="preserve"> qu’</w:t>
      </w:r>
      <w:r w:rsidR="004626C5" w:rsidRPr="00C93F7A">
        <w:rPr>
          <w:lang w:val="fr-FR"/>
        </w:rPr>
        <w:t>u</w:t>
      </w:r>
      <w:r w:rsidR="009D557F" w:rsidRPr="00C93F7A">
        <w:rPr>
          <w:lang w:val="fr-FR"/>
        </w:rPr>
        <w:t>tilisé</w:t>
      </w:r>
      <w:r w:rsidR="00233A17" w:rsidRPr="00C93F7A">
        <w:rPr>
          <w:lang w:val="fr-FR"/>
        </w:rPr>
        <w:t>e</w:t>
      </w:r>
      <w:r w:rsidR="009D557F" w:rsidRPr="00C93F7A">
        <w:rPr>
          <w:lang w:val="fr-FR"/>
        </w:rPr>
        <w:t xml:space="preserve"> ici </w:t>
      </w:r>
      <w:r w:rsidR="00233A17" w:rsidRPr="00C93F7A">
        <w:rPr>
          <w:lang w:val="fr-FR"/>
        </w:rPr>
        <w:t>désigne</w:t>
      </w:r>
      <w:r w:rsidR="009D557F" w:rsidRPr="00C93F7A">
        <w:rPr>
          <w:lang w:val="fr-FR"/>
        </w:rPr>
        <w:t xml:space="preserve"> “toute information qui a été rendue accessible au public n’importe où dans le monde sous </w:t>
      </w:r>
      <w:r w:rsidR="00233A17" w:rsidRPr="00C93F7A">
        <w:rPr>
          <w:lang w:val="fr-FR"/>
        </w:rPr>
        <w:t>quelque</w:t>
      </w:r>
      <w:r w:rsidR="009D557F" w:rsidRPr="00C93F7A">
        <w:rPr>
          <w:lang w:val="fr-FR"/>
        </w:rPr>
        <w:t xml:space="preserve"> forme </w:t>
      </w:r>
      <w:r w:rsidR="00233A17" w:rsidRPr="00C93F7A">
        <w:rPr>
          <w:lang w:val="fr-FR"/>
        </w:rPr>
        <w:t xml:space="preserve">que ce soit </w:t>
      </w:r>
      <w:r w:rsidR="009D557F" w:rsidRPr="00C93F7A">
        <w:rPr>
          <w:lang w:val="fr-FR"/>
        </w:rPr>
        <w:t xml:space="preserve">avant la date de dépôt, ou, </w:t>
      </w:r>
      <w:r w:rsidR="00233A17" w:rsidRPr="00C93F7A">
        <w:rPr>
          <w:lang w:val="fr-FR"/>
        </w:rPr>
        <w:t>le cas échéant</w:t>
      </w:r>
      <w:r w:rsidR="009D557F" w:rsidRPr="00C93F7A">
        <w:rPr>
          <w:lang w:val="fr-FR"/>
        </w:rPr>
        <w:t>, la date de priorité”</w:t>
      </w:r>
    </w:p>
    <w:p w14:paraId="4D01E21E" w14:textId="2C88CD9B" w:rsidR="009D557F" w:rsidRPr="00233A17" w:rsidRDefault="00777475" w:rsidP="00233A17">
      <w:pPr>
        <w:spacing w:line="360" w:lineRule="auto"/>
        <w:ind w:left="567" w:hanging="567"/>
        <w:rPr>
          <w:lang w:val="fr-FR"/>
        </w:rPr>
      </w:pPr>
      <w:r w:rsidRPr="00233A17">
        <w:rPr>
          <w:lang w:val="fr-FR"/>
        </w:rPr>
        <w:t xml:space="preserve">3) </w:t>
      </w:r>
      <w:r w:rsidR="009B0C48" w:rsidRPr="00233A17">
        <w:rPr>
          <w:lang w:val="fr-FR"/>
        </w:rPr>
        <w:tab/>
      </w:r>
      <w:r w:rsidR="009D557F" w:rsidRPr="00233A17">
        <w:rPr>
          <w:lang w:val="fr-FR"/>
        </w:rPr>
        <w:t xml:space="preserve">Il ne devrait pas y avoir d’obligation pour le demandeur ou toute autre personne impliquée dans la </w:t>
      </w:r>
      <w:r w:rsidR="009E2817" w:rsidRPr="00233A17">
        <w:rPr>
          <w:lang w:val="fr-FR"/>
        </w:rPr>
        <w:t>préparation</w:t>
      </w:r>
      <w:r w:rsidR="009D557F" w:rsidRPr="00233A17">
        <w:rPr>
          <w:lang w:val="fr-FR"/>
        </w:rPr>
        <w:t xml:space="preserve"> </w:t>
      </w:r>
      <w:r w:rsidR="00233A17" w:rsidRPr="00233A17">
        <w:rPr>
          <w:lang w:val="fr-FR"/>
        </w:rPr>
        <w:t>o</w:t>
      </w:r>
      <w:r w:rsidR="009D557F" w:rsidRPr="00233A17">
        <w:rPr>
          <w:lang w:val="fr-FR"/>
        </w:rPr>
        <w:t>u la procédure d’une demande de brevet de citer un quelconque art antérieur à un Office de brevet</w:t>
      </w:r>
      <w:r w:rsidR="00233A17">
        <w:rPr>
          <w:lang w:val="fr-FR"/>
        </w:rPr>
        <w:t>s</w:t>
      </w:r>
      <w:r w:rsidR="00233A17" w:rsidRPr="00233A17">
        <w:rPr>
          <w:lang w:val="fr-FR"/>
        </w:rPr>
        <w:t>.</w:t>
      </w:r>
    </w:p>
    <w:p w14:paraId="19546206" w14:textId="3F9F54EB" w:rsidR="009D557F" w:rsidRPr="00233A17" w:rsidRDefault="00777475" w:rsidP="00233A17">
      <w:pPr>
        <w:spacing w:line="360" w:lineRule="auto"/>
        <w:ind w:left="567" w:hanging="567"/>
        <w:rPr>
          <w:lang w:val="fr-FR"/>
        </w:rPr>
      </w:pPr>
      <w:r w:rsidRPr="00233A17">
        <w:rPr>
          <w:lang w:val="fr-FR"/>
        </w:rPr>
        <w:t xml:space="preserve">4) </w:t>
      </w:r>
      <w:r w:rsidR="009B0C48" w:rsidRPr="00233A17">
        <w:rPr>
          <w:lang w:val="fr-FR"/>
        </w:rPr>
        <w:tab/>
      </w:r>
      <w:r w:rsidR="009D557F" w:rsidRPr="00233A17">
        <w:rPr>
          <w:lang w:val="fr-FR"/>
        </w:rPr>
        <w:t xml:space="preserve">Il ne doit pas y avoir d’obligation pour le demandeur d’effectuer une </w:t>
      </w:r>
      <w:r w:rsidR="009E2817" w:rsidRPr="00233A17">
        <w:rPr>
          <w:lang w:val="fr-FR"/>
        </w:rPr>
        <w:t>recherche</w:t>
      </w:r>
      <w:r w:rsidR="009D557F" w:rsidRPr="00233A17">
        <w:rPr>
          <w:lang w:val="fr-FR"/>
        </w:rPr>
        <w:t xml:space="preserve"> d’art antérieur.</w:t>
      </w:r>
    </w:p>
    <w:p w14:paraId="399995DF" w14:textId="0E6C54D7" w:rsidR="009D557F" w:rsidRPr="00233A17" w:rsidRDefault="009E2817" w:rsidP="009B0C48">
      <w:pPr>
        <w:spacing w:line="360" w:lineRule="auto"/>
        <w:ind w:left="567" w:hanging="567"/>
        <w:rPr>
          <w:lang w:val="fr-FR"/>
        </w:rPr>
      </w:pPr>
      <w:r w:rsidRPr="00233A17">
        <w:rPr>
          <w:lang w:val="fr-FR"/>
        </w:rPr>
        <w:lastRenderedPageBreak/>
        <w:t xml:space="preserve">5) </w:t>
      </w:r>
      <w:r w:rsidRPr="00233A17">
        <w:rPr>
          <w:lang w:val="fr-FR"/>
        </w:rPr>
        <w:tab/>
      </w:r>
      <w:r w:rsidR="009D557F" w:rsidRPr="00233A17">
        <w:rPr>
          <w:lang w:val="fr-FR"/>
        </w:rPr>
        <w:t xml:space="preserve">Nonobstant </w:t>
      </w:r>
      <w:r w:rsidR="00233A17" w:rsidRPr="00233A17">
        <w:rPr>
          <w:lang w:val="fr-FR"/>
        </w:rPr>
        <w:t>le paragraphe</w:t>
      </w:r>
      <w:r w:rsidR="009D557F" w:rsidRPr="00233A17">
        <w:rPr>
          <w:lang w:val="fr-FR"/>
        </w:rPr>
        <w:t xml:space="preserve"> 3 ci-dessus, si la loi nationale </w:t>
      </w:r>
      <w:r w:rsidR="00233A17" w:rsidRPr="00233A17">
        <w:rPr>
          <w:lang w:val="fr-FR"/>
        </w:rPr>
        <w:t xml:space="preserve">prévoit </w:t>
      </w:r>
      <w:r w:rsidR="009D557F" w:rsidRPr="00233A17">
        <w:rPr>
          <w:lang w:val="fr-FR"/>
        </w:rPr>
        <w:t xml:space="preserve">des dispositions relatives </w:t>
      </w:r>
      <w:r w:rsidR="00233A17" w:rsidRPr="00233A17">
        <w:rPr>
          <w:lang w:val="fr-FR"/>
        </w:rPr>
        <w:t xml:space="preserve">à une </w:t>
      </w:r>
      <w:r w:rsidR="00233A17" w:rsidRPr="00233A17">
        <w:rPr>
          <w:lang w:val="fr-FR"/>
        </w:rPr>
        <w:t>exigence en matière de divulgation</w:t>
      </w:r>
      <w:r w:rsidR="009D557F" w:rsidRPr="00233A17">
        <w:rPr>
          <w:lang w:val="fr-FR"/>
        </w:rPr>
        <w:t xml:space="preserve">, </w:t>
      </w:r>
      <w:r w:rsidR="00233A17" w:rsidRPr="00233A17">
        <w:rPr>
          <w:lang w:val="fr-FR"/>
        </w:rPr>
        <w:t>l’exigence en matière</w:t>
      </w:r>
      <w:r w:rsidR="009D557F" w:rsidRPr="00233A17">
        <w:rPr>
          <w:lang w:val="fr-FR"/>
        </w:rPr>
        <w:t xml:space="preserve"> de divulgation devrait être limitée à l’art antérieur cit</w:t>
      </w:r>
      <w:r w:rsidR="00233A17" w:rsidRPr="00233A17">
        <w:rPr>
          <w:lang w:val="fr-FR"/>
        </w:rPr>
        <w:t>é</w:t>
      </w:r>
      <w:r w:rsidR="009D557F" w:rsidRPr="00233A17">
        <w:rPr>
          <w:lang w:val="fr-FR"/>
        </w:rPr>
        <w:t xml:space="preserve"> par les Offices de brevets</w:t>
      </w:r>
      <w:r w:rsidR="00233A17" w:rsidRPr="00233A17">
        <w:rPr>
          <w:lang w:val="fr-FR"/>
        </w:rPr>
        <w:t xml:space="preserve"> pour la même invention</w:t>
      </w:r>
      <w:r w:rsidR="009D557F" w:rsidRPr="00233A17">
        <w:rPr>
          <w:lang w:val="fr-FR"/>
        </w:rPr>
        <w:t xml:space="preserve"> et </w:t>
      </w:r>
      <w:r w:rsidR="00233A17" w:rsidRPr="00233A17">
        <w:rPr>
          <w:lang w:val="fr-FR"/>
        </w:rPr>
        <w:t>n’être appliquée</w:t>
      </w:r>
      <w:r w:rsidR="009D557F" w:rsidRPr="00233A17">
        <w:rPr>
          <w:lang w:val="fr-FR"/>
        </w:rPr>
        <w:t xml:space="preserve"> </w:t>
      </w:r>
      <w:r w:rsidRPr="00233A17">
        <w:rPr>
          <w:lang w:val="fr-FR"/>
        </w:rPr>
        <w:t>seulement</w:t>
      </w:r>
      <w:r w:rsidR="009D557F" w:rsidRPr="00233A17">
        <w:rPr>
          <w:lang w:val="fr-FR"/>
        </w:rPr>
        <w:t xml:space="preserve"> </w:t>
      </w:r>
      <w:r w:rsidR="00233A17" w:rsidRPr="00233A17">
        <w:rPr>
          <w:lang w:val="fr-FR"/>
        </w:rPr>
        <w:t>que sur requête</w:t>
      </w:r>
      <w:r w:rsidR="009D557F" w:rsidRPr="00233A17">
        <w:rPr>
          <w:lang w:val="fr-FR"/>
        </w:rPr>
        <w:t xml:space="preserve"> de l’Office de brevet</w:t>
      </w:r>
      <w:r w:rsidR="00233A17" w:rsidRPr="00233A17">
        <w:rPr>
          <w:lang w:val="fr-FR"/>
        </w:rPr>
        <w:t>s</w:t>
      </w:r>
      <w:r w:rsidR="009D557F" w:rsidRPr="00233A17">
        <w:rPr>
          <w:lang w:val="fr-FR"/>
        </w:rPr>
        <w:t>.</w:t>
      </w:r>
    </w:p>
    <w:p w14:paraId="57E5B3E7" w14:textId="16857384" w:rsidR="009D557F" w:rsidRPr="00233A17" w:rsidRDefault="00777475" w:rsidP="00233A17">
      <w:pPr>
        <w:spacing w:line="360" w:lineRule="auto"/>
        <w:ind w:left="567" w:hanging="567"/>
        <w:rPr>
          <w:lang w:val="fr-FR"/>
        </w:rPr>
      </w:pPr>
      <w:r w:rsidRPr="00233A17">
        <w:rPr>
          <w:lang w:val="fr-FR"/>
        </w:rPr>
        <w:t xml:space="preserve">6) </w:t>
      </w:r>
      <w:r w:rsidR="009B0C48" w:rsidRPr="00233A17">
        <w:rPr>
          <w:lang w:val="fr-FR"/>
        </w:rPr>
        <w:tab/>
      </w:r>
      <w:r w:rsidR="009D557F" w:rsidRPr="00233A17">
        <w:rPr>
          <w:lang w:val="fr-FR"/>
        </w:rPr>
        <w:t>L’AIPPI recommande que tous les Offices de brevet</w:t>
      </w:r>
      <w:r w:rsidR="00233A17" w:rsidRPr="00233A17">
        <w:rPr>
          <w:lang w:val="fr-FR"/>
        </w:rPr>
        <w:t>s</w:t>
      </w:r>
      <w:r w:rsidR="009D557F" w:rsidRPr="00233A17">
        <w:rPr>
          <w:lang w:val="fr-FR"/>
        </w:rPr>
        <w:t xml:space="preserve"> partagent les informations sur l’art antérieur au moyen de base</w:t>
      </w:r>
      <w:r w:rsidR="00233A17" w:rsidRPr="00233A17">
        <w:rPr>
          <w:lang w:val="fr-FR"/>
        </w:rPr>
        <w:t>s</w:t>
      </w:r>
      <w:r w:rsidR="009D557F" w:rsidRPr="00233A17">
        <w:rPr>
          <w:lang w:val="fr-FR"/>
        </w:rPr>
        <w:t xml:space="preserve"> de données commune</w:t>
      </w:r>
      <w:r w:rsidR="00233A17" w:rsidRPr="00233A17">
        <w:rPr>
          <w:lang w:val="fr-FR"/>
        </w:rPr>
        <w:t>s</w:t>
      </w:r>
      <w:r w:rsidR="009D557F" w:rsidRPr="00233A17">
        <w:rPr>
          <w:lang w:val="fr-FR"/>
        </w:rPr>
        <w:t xml:space="preserve"> et accessibles au public, ou </w:t>
      </w:r>
      <w:r w:rsidR="00233A17" w:rsidRPr="00233A17">
        <w:rPr>
          <w:lang w:val="fr-FR"/>
        </w:rPr>
        <w:t>d’</w:t>
      </w:r>
      <w:r w:rsidR="009D557F" w:rsidRPr="00233A17">
        <w:rPr>
          <w:lang w:val="fr-FR"/>
        </w:rPr>
        <w:t xml:space="preserve">un portail commun pour de telles bases de données (par exemple, Global Dossier ou </w:t>
      </w:r>
      <w:r w:rsidR="00233A17" w:rsidRPr="00233A17">
        <w:rPr>
          <w:lang w:val="fr-FR"/>
        </w:rPr>
        <w:t xml:space="preserve">Common Citation Document </w:t>
      </w:r>
      <w:r w:rsidR="00233A17" w:rsidRPr="00233A17">
        <w:rPr>
          <w:lang w:val="fr-FR"/>
        </w:rPr>
        <w:t xml:space="preserve">- </w:t>
      </w:r>
      <w:r w:rsidR="009D557F" w:rsidRPr="00233A17">
        <w:rPr>
          <w:lang w:val="fr-FR"/>
        </w:rPr>
        <w:t>CCD).</w:t>
      </w:r>
    </w:p>
    <w:p w14:paraId="76C41D03" w14:textId="029DF5D5" w:rsidR="009D557F" w:rsidRPr="00233A17" w:rsidRDefault="00777475" w:rsidP="00233A17">
      <w:pPr>
        <w:spacing w:line="360" w:lineRule="auto"/>
        <w:ind w:left="567" w:hanging="567"/>
        <w:rPr>
          <w:lang w:val="fr-FR"/>
        </w:rPr>
      </w:pPr>
      <w:r w:rsidRPr="00233A17">
        <w:rPr>
          <w:lang w:val="fr-FR"/>
        </w:rPr>
        <w:t xml:space="preserve">7) </w:t>
      </w:r>
      <w:r w:rsidR="009B0C48" w:rsidRPr="00233A17">
        <w:rPr>
          <w:lang w:val="fr-FR"/>
        </w:rPr>
        <w:tab/>
      </w:r>
      <w:r w:rsidR="009D557F" w:rsidRPr="00233A17">
        <w:rPr>
          <w:lang w:val="fr-FR"/>
        </w:rPr>
        <w:t xml:space="preserve">Nonobstant </w:t>
      </w:r>
      <w:r w:rsidR="00233A17" w:rsidRPr="00233A17">
        <w:rPr>
          <w:lang w:val="fr-FR"/>
        </w:rPr>
        <w:t>le paragraphe</w:t>
      </w:r>
      <w:r w:rsidR="009D557F" w:rsidRPr="00233A17">
        <w:rPr>
          <w:lang w:val="fr-FR"/>
        </w:rPr>
        <w:t xml:space="preserve"> 3 ci-dessus, si la loi nationale </w:t>
      </w:r>
      <w:r w:rsidR="00233A17" w:rsidRPr="00233A17">
        <w:rPr>
          <w:lang w:val="fr-FR"/>
        </w:rPr>
        <w:t>prévoit</w:t>
      </w:r>
      <w:r w:rsidR="009D557F" w:rsidRPr="00233A17">
        <w:rPr>
          <w:lang w:val="fr-FR"/>
        </w:rPr>
        <w:t xml:space="preserve"> des dispositions relatives </w:t>
      </w:r>
      <w:r w:rsidR="00233A17" w:rsidRPr="00233A17">
        <w:rPr>
          <w:lang w:val="fr-FR"/>
        </w:rPr>
        <w:t>à une exigence en matière de divulgation</w:t>
      </w:r>
      <w:r w:rsidR="009D557F" w:rsidRPr="00233A17">
        <w:rPr>
          <w:lang w:val="fr-FR"/>
        </w:rPr>
        <w:t xml:space="preserve">, la </w:t>
      </w:r>
      <w:r w:rsidR="009E2817" w:rsidRPr="00233A17">
        <w:rPr>
          <w:lang w:val="fr-FR"/>
        </w:rPr>
        <w:t xml:space="preserve">seule </w:t>
      </w:r>
      <w:r w:rsidR="00233A17" w:rsidRPr="00233A17">
        <w:rPr>
          <w:lang w:val="fr-FR"/>
        </w:rPr>
        <w:t>communication</w:t>
      </w:r>
      <w:r w:rsidR="009D557F" w:rsidRPr="00233A17">
        <w:rPr>
          <w:lang w:val="fr-FR"/>
        </w:rPr>
        <w:t xml:space="preserve"> de documents de l’art antérieur devrait satisfaire </w:t>
      </w:r>
      <w:r w:rsidR="00233A17" w:rsidRPr="00233A17">
        <w:rPr>
          <w:lang w:val="fr-FR"/>
        </w:rPr>
        <w:t xml:space="preserve">à </w:t>
      </w:r>
      <w:r w:rsidR="00233A17" w:rsidRPr="00233A17">
        <w:rPr>
          <w:lang w:val="fr-FR"/>
        </w:rPr>
        <w:t>l’</w:t>
      </w:r>
      <w:r w:rsidR="00233A17" w:rsidRPr="00233A17">
        <w:rPr>
          <w:lang w:val="fr-FR"/>
        </w:rPr>
        <w:t>exigence en matière de divulgation</w:t>
      </w:r>
      <w:r w:rsidR="009D557F" w:rsidRPr="00233A17">
        <w:rPr>
          <w:lang w:val="fr-FR"/>
        </w:rPr>
        <w:t xml:space="preserve">, sans qu’il soit </w:t>
      </w:r>
      <w:r w:rsidR="00845A12" w:rsidRPr="00233A17">
        <w:rPr>
          <w:lang w:val="fr-FR"/>
        </w:rPr>
        <w:t>nécessaire</w:t>
      </w:r>
      <w:r w:rsidR="009D557F" w:rsidRPr="00233A17">
        <w:rPr>
          <w:lang w:val="fr-FR"/>
        </w:rPr>
        <w:t xml:space="preserve"> </w:t>
      </w:r>
      <w:r w:rsidR="00233A17" w:rsidRPr="00233A17">
        <w:rPr>
          <w:lang w:val="fr-FR"/>
        </w:rPr>
        <w:t>de procéder à</w:t>
      </w:r>
      <w:r w:rsidR="00845A12" w:rsidRPr="00233A17">
        <w:rPr>
          <w:lang w:val="fr-FR"/>
        </w:rPr>
        <w:t xml:space="preserve"> une quelconque analyse ou </w:t>
      </w:r>
      <w:r w:rsidR="00233A17" w:rsidRPr="00233A17">
        <w:rPr>
          <w:lang w:val="fr-FR"/>
        </w:rPr>
        <w:t xml:space="preserve">de </w:t>
      </w:r>
      <w:r w:rsidR="00845A12" w:rsidRPr="00233A17">
        <w:rPr>
          <w:lang w:val="fr-FR"/>
        </w:rPr>
        <w:t xml:space="preserve">faire référence à </w:t>
      </w:r>
      <w:r w:rsidR="00233A17" w:rsidRPr="00233A17">
        <w:rPr>
          <w:lang w:val="fr-FR"/>
        </w:rPr>
        <w:t>des</w:t>
      </w:r>
      <w:r w:rsidR="00845A12" w:rsidRPr="00233A17">
        <w:rPr>
          <w:lang w:val="fr-FR"/>
        </w:rPr>
        <w:t xml:space="preserve"> partie</w:t>
      </w:r>
      <w:r w:rsidR="00233A17" w:rsidRPr="00233A17">
        <w:rPr>
          <w:lang w:val="fr-FR"/>
        </w:rPr>
        <w:t>s</w:t>
      </w:r>
      <w:r w:rsidR="00845A12" w:rsidRPr="00233A17">
        <w:rPr>
          <w:lang w:val="fr-FR"/>
        </w:rPr>
        <w:t xml:space="preserve"> spécifique</w:t>
      </w:r>
      <w:r w:rsidR="00233A17" w:rsidRPr="00233A17">
        <w:rPr>
          <w:lang w:val="fr-FR"/>
        </w:rPr>
        <w:t>s</w:t>
      </w:r>
      <w:r w:rsidR="00845A12" w:rsidRPr="00233A17">
        <w:rPr>
          <w:lang w:val="fr-FR"/>
        </w:rPr>
        <w:t xml:space="preserve"> de ces documents. Dans </w:t>
      </w:r>
      <w:r w:rsidR="00233A17" w:rsidRPr="00233A17">
        <w:rPr>
          <w:lang w:val="fr-FR"/>
        </w:rPr>
        <w:t>le cadre d’une</w:t>
      </w:r>
      <w:r w:rsidR="00845A12" w:rsidRPr="00233A17">
        <w:rPr>
          <w:lang w:val="fr-FR"/>
        </w:rPr>
        <w:t xml:space="preserve"> procédure devant un Office de brevets, la </w:t>
      </w:r>
      <w:r w:rsidR="00233A17" w:rsidRPr="00233A17">
        <w:rPr>
          <w:lang w:val="fr-FR"/>
        </w:rPr>
        <w:t>communication</w:t>
      </w:r>
      <w:r w:rsidR="00845A12" w:rsidRPr="00233A17">
        <w:rPr>
          <w:lang w:val="fr-FR"/>
        </w:rPr>
        <w:t xml:space="preserve"> d’un tel document de l’art antérieur qui peut être obtenu facilement par l’Office de brevets, ne devrait pas être </w:t>
      </w:r>
      <w:r w:rsidR="00233A17" w:rsidRPr="00233A17">
        <w:rPr>
          <w:lang w:val="fr-FR"/>
        </w:rPr>
        <w:t>exigée</w:t>
      </w:r>
      <w:r w:rsidR="00845A12" w:rsidRPr="00233A17">
        <w:rPr>
          <w:lang w:val="fr-FR"/>
        </w:rPr>
        <w:t>.</w:t>
      </w:r>
    </w:p>
    <w:p w14:paraId="27C8D87A" w14:textId="641F4AFB" w:rsidR="00845A12" w:rsidRPr="00233A17" w:rsidRDefault="00777475" w:rsidP="00233A17">
      <w:pPr>
        <w:spacing w:line="360" w:lineRule="auto"/>
        <w:ind w:left="567" w:hanging="567"/>
        <w:rPr>
          <w:lang w:val="fr-FR"/>
        </w:rPr>
      </w:pPr>
      <w:r w:rsidRPr="00233A17">
        <w:rPr>
          <w:lang w:val="fr-FR"/>
        </w:rPr>
        <w:t xml:space="preserve">8) </w:t>
      </w:r>
      <w:r w:rsidR="009B0C48" w:rsidRPr="00233A17">
        <w:rPr>
          <w:lang w:val="fr-FR"/>
        </w:rPr>
        <w:tab/>
      </w:r>
      <w:r w:rsidR="00845A12" w:rsidRPr="00233A17">
        <w:rPr>
          <w:lang w:val="fr-FR"/>
        </w:rPr>
        <w:t xml:space="preserve">Toute information </w:t>
      </w:r>
      <w:r w:rsidR="00233A17" w:rsidRPr="00233A17">
        <w:rPr>
          <w:lang w:val="fr-FR"/>
        </w:rPr>
        <w:t>sur</w:t>
      </w:r>
      <w:r w:rsidR="00845A12" w:rsidRPr="00233A17">
        <w:rPr>
          <w:lang w:val="fr-FR"/>
        </w:rPr>
        <w:t xml:space="preserve"> l’art antérieur communiquée </w:t>
      </w:r>
      <w:r w:rsidR="00233A17" w:rsidRPr="00233A17">
        <w:rPr>
          <w:lang w:val="fr-FR"/>
        </w:rPr>
        <w:t xml:space="preserve">par écrit </w:t>
      </w:r>
      <w:r w:rsidR="00845A12" w:rsidRPr="00233A17">
        <w:rPr>
          <w:lang w:val="fr-FR"/>
        </w:rPr>
        <w:t>à un Office de brevet</w:t>
      </w:r>
      <w:r w:rsidR="00233A17" w:rsidRPr="00233A17">
        <w:rPr>
          <w:lang w:val="fr-FR"/>
        </w:rPr>
        <w:t>s</w:t>
      </w:r>
      <w:r w:rsidR="00845A12" w:rsidRPr="00233A17">
        <w:rPr>
          <w:lang w:val="fr-FR"/>
        </w:rPr>
        <w:t xml:space="preserve"> devrait être rendu accessible au public une fois la demande de brevet rendue accessible au public.</w:t>
      </w:r>
    </w:p>
    <w:p w14:paraId="25EB4BDC" w14:textId="3BF84C06" w:rsidR="00845A12" w:rsidRPr="00233A17" w:rsidRDefault="00845A12" w:rsidP="009B0C48">
      <w:pPr>
        <w:spacing w:line="360" w:lineRule="auto"/>
        <w:ind w:left="567" w:hanging="567"/>
        <w:rPr>
          <w:lang w:val="fr-FR"/>
        </w:rPr>
      </w:pPr>
      <w:r w:rsidRPr="00233A17">
        <w:rPr>
          <w:lang w:val="fr-FR"/>
        </w:rPr>
        <w:t xml:space="preserve">9) </w:t>
      </w:r>
      <w:r w:rsidRPr="00233A17">
        <w:rPr>
          <w:lang w:val="fr-FR"/>
        </w:rPr>
        <w:tab/>
        <w:t xml:space="preserve">La </w:t>
      </w:r>
      <w:r w:rsidR="00233A17" w:rsidRPr="00233A17">
        <w:rPr>
          <w:lang w:val="fr-FR"/>
        </w:rPr>
        <w:t>communication</w:t>
      </w:r>
      <w:r w:rsidRPr="00233A17">
        <w:rPr>
          <w:lang w:val="fr-FR"/>
        </w:rPr>
        <w:t xml:space="preserve"> d’art antérieur selon</w:t>
      </w:r>
      <w:r w:rsidR="00233A17" w:rsidRPr="00233A17">
        <w:rPr>
          <w:lang w:val="fr-FR"/>
        </w:rPr>
        <w:t xml:space="preserve"> l’</w:t>
      </w:r>
      <w:r w:rsidRPr="00233A17">
        <w:rPr>
          <w:lang w:val="fr-FR"/>
        </w:rPr>
        <w:t xml:space="preserve"> </w:t>
      </w:r>
      <w:r w:rsidR="00233A17" w:rsidRPr="00233A17">
        <w:rPr>
          <w:lang w:val="fr-FR"/>
        </w:rPr>
        <w:t>exigence en matière de divulgation</w:t>
      </w:r>
      <w:r w:rsidR="00233A17" w:rsidRPr="00233A17">
        <w:rPr>
          <w:lang w:val="fr-FR"/>
        </w:rPr>
        <w:t xml:space="preserve"> </w:t>
      </w:r>
      <w:r w:rsidRPr="00233A17">
        <w:rPr>
          <w:lang w:val="fr-FR"/>
        </w:rPr>
        <w:t xml:space="preserve">ne devrait </w:t>
      </w:r>
      <w:r w:rsidR="00233A17" w:rsidRPr="00233A17">
        <w:rPr>
          <w:lang w:val="fr-FR"/>
        </w:rPr>
        <w:t xml:space="preserve">en </w:t>
      </w:r>
      <w:r w:rsidR="00233A17" w:rsidRPr="00233A17">
        <w:rPr>
          <w:lang w:val="fr-FR"/>
        </w:rPr>
        <w:t xml:space="preserve">aucune mesure </w:t>
      </w:r>
      <w:r w:rsidRPr="00233A17">
        <w:rPr>
          <w:lang w:val="fr-FR"/>
        </w:rPr>
        <w:t xml:space="preserve">être </w:t>
      </w:r>
      <w:r w:rsidR="00233A17" w:rsidRPr="00233A17">
        <w:rPr>
          <w:lang w:val="fr-FR"/>
        </w:rPr>
        <w:t>considérée</w:t>
      </w:r>
      <w:r w:rsidRPr="00233A17">
        <w:rPr>
          <w:lang w:val="fr-FR"/>
        </w:rPr>
        <w:t xml:space="preserve"> en comme une </w:t>
      </w:r>
      <w:r w:rsidR="00233A17" w:rsidRPr="00233A17">
        <w:rPr>
          <w:lang w:val="fr-FR"/>
        </w:rPr>
        <w:t>reconnaissance de</w:t>
      </w:r>
      <w:r w:rsidRPr="00233A17">
        <w:rPr>
          <w:lang w:val="fr-FR"/>
        </w:rPr>
        <w:t xml:space="preserve"> la pertinence de cet art antérieur vis-à-vis </w:t>
      </w:r>
      <w:r w:rsidR="00233A17" w:rsidRPr="00233A17">
        <w:rPr>
          <w:lang w:val="fr-FR"/>
        </w:rPr>
        <w:t xml:space="preserve">de </w:t>
      </w:r>
      <w:r w:rsidRPr="00233A17">
        <w:rPr>
          <w:lang w:val="fr-FR"/>
        </w:rPr>
        <w:t xml:space="preserve">l’une quelconque des revendications du brevet ou de la demande de brevet </w:t>
      </w:r>
      <w:r w:rsidR="00233A17" w:rsidRPr="00233A17">
        <w:rPr>
          <w:lang w:val="fr-FR"/>
        </w:rPr>
        <w:t xml:space="preserve">durant une quelconque </w:t>
      </w:r>
      <w:r w:rsidRPr="00233A17">
        <w:rPr>
          <w:lang w:val="fr-FR"/>
        </w:rPr>
        <w:t>procédure.</w:t>
      </w:r>
    </w:p>
    <w:p w14:paraId="6DBA2932" w14:textId="69DE848D" w:rsidR="00777475" w:rsidRPr="00233A17" w:rsidRDefault="00845A12" w:rsidP="00233A17">
      <w:pPr>
        <w:spacing w:line="360" w:lineRule="auto"/>
        <w:ind w:left="567" w:hanging="567"/>
        <w:rPr>
          <w:lang w:val="fr-FR"/>
        </w:rPr>
      </w:pPr>
      <w:r w:rsidRPr="00233A17">
        <w:rPr>
          <w:lang w:val="fr-FR"/>
        </w:rPr>
        <w:t>10)</w:t>
      </w:r>
      <w:r w:rsidRPr="00233A17">
        <w:rPr>
          <w:lang w:val="fr-FR"/>
        </w:rPr>
        <w:tab/>
        <w:t xml:space="preserve">En </w:t>
      </w:r>
      <w:r w:rsidR="00233A17" w:rsidRPr="00233A17">
        <w:rPr>
          <w:lang w:val="fr-FR"/>
        </w:rPr>
        <w:t>complément</w:t>
      </w:r>
      <w:r w:rsidRPr="00233A17">
        <w:rPr>
          <w:lang w:val="fr-FR"/>
        </w:rPr>
        <w:t xml:space="preserve"> du </w:t>
      </w:r>
      <w:r w:rsidR="004626C5" w:rsidRPr="00233A17">
        <w:rPr>
          <w:lang w:val="fr-FR"/>
        </w:rPr>
        <w:t>paragraphe 5 ci-dessus, et n</w:t>
      </w:r>
      <w:r w:rsidR="004626C5" w:rsidRPr="00233A17">
        <w:rPr>
          <w:lang w:val="fr-FR"/>
        </w:rPr>
        <w:t xml:space="preserve">onobstant </w:t>
      </w:r>
      <w:r w:rsidR="004626C5" w:rsidRPr="00233A17">
        <w:rPr>
          <w:lang w:val="fr-FR"/>
        </w:rPr>
        <w:t>le paragraphe</w:t>
      </w:r>
      <w:r w:rsidR="004626C5" w:rsidRPr="00233A17">
        <w:rPr>
          <w:lang w:val="fr-FR"/>
        </w:rPr>
        <w:t xml:space="preserve"> 3 ci-dessus</w:t>
      </w:r>
      <w:r w:rsidRPr="00233A17">
        <w:rPr>
          <w:lang w:val="fr-FR"/>
        </w:rPr>
        <w:t xml:space="preserve">, si </w:t>
      </w:r>
      <w:r w:rsidR="004626C5" w:rsidRPr="00233A17">
        <w:rPr>
          <w:lang w:val="fr-FR"/>
        </w:rPr>
        <w:t>u</w:t>
      </w:r>
      <w:r w:rsidRPr="00233A17">
        <w:rPr>
          <w:lang w:val="fr-FR"/>
        </w:rPr>
        <w:t xml:space="preserve">ne juridiction dispose d’une </w:t>
      </w:r>
      <w:r w:rsidR="00233A17" w:rsidRPr="00233A17">
        <w:rPr>
          <w:lang w:val="fr-FR"/>
        </w:rPr>
        <w:t>exigence en matière</w:t>
      </w:r>
      <w:r w:rsidRPr="00233A17">
        <w:rPr>
          <w:lang w:val="fr-FR"/>
        </w:rPr>
        <w:t xml:space="preserve"> de divulgation dans sa loi nationale et s’il est découvert </w:t>
      </w:r>
      <w:r w:rsidR="00B27A17" w:rsidRPr="00233A17">
        <w:rPr>
          <w:lang w:val="fr-FR"/>
        </w:rPr>
        <w:t>à</w:t>
      </w:r>
      <w:r w:rsidRPr="00233A17">
        <w:rPr>
          <w:lang w:val="fr-FR"/>
        </w:rPr>
        <w:t xml:space="preserve"> tout moment après la délivrance du brevet qu’il y a eu un une volonté intentionnelle de ne pas satisfaire à </w:t>
      </w:r>
      <w:r w:rsidR="00233A17" w:rsidRPr="00233A17">
        <w:rPr>
          <w:lang w:val="fr-FR"/>
        </w:rPr>
        <w:t>l’exigence en matière</w:t>
      </w:r>
      <w:r w:rsidRPr="00233A17">
        <w:rPr>
          <w:lang w:val="fr-FR"/>
        </w:rPr>
        <w:t xml:space="preserve"> de divulgation, la </w:t>
      </w:r>
      <w:r w:rsidR="004626C5" w:rsidRPr="00233A17">
        <w:rPr>
          <w:lang w:val="fr-FR"/>
        </w:rPr>
        <w:t>juridiction</w:t>
      </w:r>
      <w:r w:rsidRPr="00233A17">
        <w:rPr>
          <w:lang w:val="fr-FR"/>
        </w:rPr>
        <w:t xml:space="preserve"> </w:t>
      </w:r>
      <w:r w:rsidR="00233A17" w:rsidRPr="00233A17">
        <w:rPr>
          <w:lang w:val="fr-FR"/>
        </w:rPr>
        <w:t>compétente</w:t>
      </w:r>
      <w:r w:rsidRPr="00233A17">
        <w:rPr>
          <w:lang w:val="fr-FR"/>
        </w:rPr>
        <w:t xml:space="preserve"> devrait avoir </w:t>
      </w:r>
      <w:r w:rsidR="00233A17" w:rsidRPr="00233A17">
        <w:rPr>
          <w:lang w:val="fr-FR"/>
        </w:rPr>
        <w:t>le pouvoir</w:t>
      </w:r>
      <w:r w:rsidRPr="00233A17">
        <w:rPr>
          <w:lang w:val="fr-FR"/>
        </w:rPr>
        <w:t xml:space="preserve"> de </w:t>
      </w:r>
      <w:r w:rsidRPr="00233A17">
        <w:rPr>
          <w:lang w:val="fr-FR"/>
        </w:rPr>
        <w:lastRenderedPageBreak/>
        <w:t xml:space="preserve">révoquer partiellement le brevet pour ce motif, mais </w:t>
      </w:r>
      <w:r w:rsidR="00B27A17" w:rsidRPr="00233A17">
        <w:rPr>
          <w:lang w:val="fr-FR"/>
        </w:rPr>
        <w:t>seulement</w:t>
      </w:r>
      <w:r w:rsidRPr="00233A17">
        <w:rPr>
          <w:lang w:val="fr-FR"/>
        </w:rPr>
        <w:t xml:space="preserve"> dans l</w:t>
      </w:r>
      <w:r w:rsidR="00B27A17" w:rsidRPr="00233A17">
        <w:rPr>
          <w:lang w:val="fr-FR"/>
        </w:rPr>
        <w:t>a mesure</w:t>
      </w:r>
      <w:r w:rsidRPr="00233A17">
        <w:rPr>
          <w:lang w:val="fr-FR"/>
        </w:rPr>
        <w:t xml:space="preserve"> o</w:t>
      </w:r>
      <w:r w:rsidR="00B27A17" w:rsidRPr="00233A17">
        <w:rPr>
          <w:lang w:val="fr-FR"/>
        </w:rPr>
        <w:t>ù</w:t>
      </w:r>
      <w:r w:rsidRPr="00233A17">
        <w:rPr>
          <w:lang w:val="fr-FR"/>
        </w:rPr>
        <w:t xml:space="preserve"> l’art antérieur non divulgué </w:t>
      </w:r>
      <w:r w:rsidR="00233A17" w:rsidRPr="00233A17">
        <w:rPr>
          <w:lang w:val="fr-FR"/>
        </w:rPr>
        <w:t>porte atteinte à</w:t>
      </w:r>
      <w:r w:rsidRPr="00233A17">
        <w:rPr>
          <w:lang w:val="fr-FR"/>
        </w:rPr>
        <w:t xml:space="preserve"> la validité de l’objet d’une ou plusieurs revendications du brevet</w:t>
      </w:r>
      <w:r w:rsidR="00B27A17" w:rsidRPr="00233A17">
        <w:rPr>
          <w:lang w:val="fr-FR"/>
        </w:rPr>
        <w:t>.</w:t>
      </w:r>
      <w:r w:rsidR="00777475" w:rsidRPr="00777475">
        <w:rPr>
          <w:b/>
          <w:bCs/>
          <w:lang w:val="fr-FR"/>
        </w:rPr>
        <w:t xml:space="preserve"> </w:t>
      </w:r>
    </w:p>
    <w:p w14:paraId="5A894F71" w14:textId="655D97E1" w:rsidR="00845A12" w:rsidRPr="00233A17" w:rsidRDefault="00845A12" w:rsidP="009B0C48">
      <w:pPr>
        <w:spacing w:line="360" w:lineRule="auto"/>
        <w:ind w:left="567" w:hanging="567"/>
        <w:rPr>
          <w:lang w:val="fr-FR"/>
        </w:rPr>
      </w:pPr>
      <w:r w:rsidRPr="00233A17">
        <w:rPr>
          <w:lang w:val="fr-FR"/>
        </w:rPr>
        <w:t xml:space="preserve">11) </w:t>
      </w:r>
      <w:r w:rsidRPr="00233A17">
        <w:rPr>
          <w:lang w:val="fr-FR"/>
        </w:rPr>
        <w:tab/>
      </w:r>
      <w:r w:rsidR="00233A17" w:rsidRPr="00233A17">
        <w:rPr>
          <w:lang w:val="fr-FR"/>
        </w:rPr>
        <w:t xml:space="preserve">L'AIPPI recommande de poursuivre l'étude des </w:t>
      </w:r>
      <w:r w:rsidR="00233A17" w:rsidRPr="00233A17">
        <w:rPr>
          <w:lang w:val="fr-FR"/>
        </w:rPr>
        <w:t>exigences</w:t>
      </w:r>
      <w:r w:rsidR="00233A17" w:rsidRPr="00233A17">
        <w:rPr>
          <w:lang w:val="fr-FR"/>
        </w:rPr>
        <w:t xml:space="preserve"> spéciales </w:t>
      </w:r>
      <w:r w:rsidR="00233A17" w:rsidRPr="00233A17">
        <w:rPr>
          <w:lang w:val="fr-FR"/>
        </w:rPr>
        <w:t>en matière de divulgation</w:t>
      </w:r>
      <w:r w:rsidR="00233A17" w:rsidRPr="00233A17">
        <w:rPr>
          <w:lang w:val="fr-FR"/>
        </w:rPr>
        <w:t xml:space="preserve"> relatives aux GRTK, en tenant compte de </w:t>
      </w:r>
      <w:r w:rsidR="00233A17" w:rsidRPr="00233A17">
        <w:rPr>
          <w:lang w:val="fr-FR"/>
        </w:rPr>
        <w:t>l’exigence en matière</w:t>
      </w:r>
      <w:r w:rsidR="00233A17" w:rsidRPr="00233A17">
        <w:rPr>
          <w:lang w:val="fr-FR"/>
        </w:rPr>
        <w:t xml:space="preserve"> </w:t>
      </w:r>
      <w:r w:rsidR="00233A17" w:rsidRPr="00233A17">
        <w:rPr>
          <w:lang w:val="fr-FR"/>
        </w:rPr>
        <w:t>de divulgation</w:t>
      </w:r>
      <w:r w:rsidRPr="00233A17">
        <w:rPr>
          <w:lang w:val="fr-FR"/>
        </w:rPr>
        <w:t>.</w:t>
      </w:r>
    </w:p>
    <w:p w14:paraId="43E367DD" w14:textId="77777777" w:rsidR="000A1EBE" w:rsidRPr="00845A12" w:rsidRDefault="000A1EBE">
      <w:pPr>
        <w:rPr>
          <w:lang w:val="fr-FR"/>
        </w:rPr>
      </w:pPr>
    </w:p>
    <w:sectPr w:rsidR="000A1EBE" w:rsidRPr="00845A1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06FE" w14:textId="77777777" w:rsidR="00B86441" w:rsidRDefault="00B86441" w:rsidP="009B0C48">
      <w:pPr>
        <w:spacing w:after="0" w:line="240" w:lineRule="auto"/>
      </w:pPr>
      <w:r>
        <w:separator/>
      </w:r>
    </w:p>
  </w:endnote>
  <w:endnote w:type="continuationSeparator" w:id="0">
    <w:p w14:paraId="76EF42DB" w14:textId="77777777" w:rsidR="00B86441" w:rsidRDefault="00B86441" w:rsidP="009B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628D" w14:textId="77777777" w:rsidR="00B86441" w:rsidRDefault="00B86441" w:rsidP="009B0C48">
      <w:pPr>
        <w:spacing w:after="0" w:line="240" w:lineRule="auto"/>
      </w:pPr>
      <w:r>
        <w:separator/>
      </w:r>
    </w:p>
  </w:footnote>
  <w:footnote w:type="continuationSeparator" w:id="0">
    <w:p w14:paraId="5C80588A" w14:textId="77777777" w:rsidR="00B86441" w:rsidRDefault="00B86441" w:rsidP="009B0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A9F6" w14:textId="77777777" w:rsidR="009B0C48" w:rsidRDefault="009B0C48" w:rsidP="009B0C48">
    <w:pPr>
      <w:pStyle w:val="En-tte"/>
    </w:pPr>
    <w:r w:rsidRPr="009B0C48">
      <w:rPr>
        <w:b/>
        <w:bCs/>
        <w:lang w:val="fr-FR"/>
      </w:rPr>
      <w:t>Q289-RES-2024</w:t>
    </w:r>
  </w:p>
  <w:p w14:paraId="59D41974" w14:textId="77777777" w:rsidR="009B0C48" w:rsidRDefault="009B0C48">
    <w:pPr>
      <w:pStyle w:val="En-tte"/>
    </w:pPr>
  </w:p>
  <w:p w14:paraId="2E09FB92" w14:textId="77777777" w:rsidR="009B0C48" w:rsidRDefault="009B0C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7603A"/>
    <w:multiLevelType w:val="hybridMultilevel"/>
    <w:tmpl w:val="DA5450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5435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BE"/>
    <w:rsid w:val="000A1EBE"/>
    <w:rsid w:val="001A43BC"/>
    <w:rsid w:val="001D20A1"/>
    <w:rsid w:val="00210606"/>
    <w:rsid w:val="00222AD5"/>
    <w:rsid w:val="00233A17"/>
    <w:rsid w:val="00262412"/>
    <w:rsid w:val="0026573E"/>
    <w:rsid w:val="00315522"/>
    <w:rsid w:val="003348A7"/>
    <w:rsid w:val="00376B04"/>
    <w:rsid w:val="00392F67"/>
    <w:rsid w:val="00417FF8"/>
    <w:rsid w:val="004626C5"/>
    <w:rsid w:val="00464BEE"/>
    <w:rsid w:val="005C46EB"/>
    <w:rsid w:val="00624B68"/>
    <w:rsid w:val="00777475"/>
    <w:rsid w:val="00845A12"/>
    <w:rsid w:val="009910F7"/>
    <w:rsid w:val="009B0C48"/>
    <w:rsid w:val="009C43F8"/>
    <w:rsid w:val="009D557F"/>
    <w:rsid w:val="009E2817"/>
    <w:rsid w:val="00A17F80"/>
    <w:rsid w:val="00A46E34"/>
    <w:rsid w:val="00B2224E"/>
    <w:rsid w:val="00B27A17"/>
    <w:rsid w:val="00B86441"/>
    <w:rsid w:val="00BB392F"/>
    <w:rsid w:val="00BF0A03"/>
    <w:rsid w:val="00C16E73"/>
    <w:rsid w:val="00C93F7A"/>
    <w:rsid w:val="00D453CB"/>
    <w:rsid w:val="00D55104"/>
    <w:rsid w:val="00E502A1"/>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EF84"/>
  <w15:chartTrackingRefBased/>
  <w15:docId w15:val="{32DE0F06-5750-4E2E-AE96-73561AA5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A1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A1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A1EB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A1EB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A1EB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A1E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1E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1E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1E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1EB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1EB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1EB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1EB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1EB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1E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1E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1E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1EBE"/>
    <w:rPr>
      <w:rFonts w:eastAsiaTheme="majorEastAsia" w:cstheme="majorBidi"/>
      <w:color w:val="272727" w:themeColor="text1" w:themeTint="D8"/>
    </w:rPr>
  </w:style>
  <w:style w:type="paragraph" w:styleId="Titre">
    <w:name w:val="Title"/>
    <w:basedOn w:val="Normal"/>
    <w:next w:val="Normal"/>
    <w:link w:val="TitreCar"/>
    <w:uiPriority w:val="10"/>
    <w:qFormat/>
    <w:rsid w:val="000A1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1E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1E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1E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1EBE"/>
    <w:pPr>
      <w:spacing w:before="160"/>
      <w:jc w:val="center"/>
    </w:pPr>
    <w:rPr>
      <w:i/>
      <w:iCs/>
      <w:color w:val="404040" w:themeColor="text1" w:themeTint="BF"/>
    </w:rPr>
  </w:style>
  <w:style w:type="character" w:customStyle="1" w:styleId="CitationCar">
    <w:name w:val="Citation Car"/>
    <w:basedOn w:val="Policepardfaut"/>
    <w:link w:val="Citation"/>
    <w:uiPriority w:val="29"/>
    <w:rsid w:val="000A1EBE"/>
    <w:rPr>
      <w:i/>
      <w:iCs/>
      <w:color w:val="404040" w:themeColor="text1" w:themeTint="BF"/>
    </w:rPr>
  </w:style>
  <w:style w:type="paragraph" w:styleId="Paragraphedeliste">
    <w:name w:val="List Paragraph"/>
    <w:basedOn w:val="Normal"/>
    <w:uiPriority w:val="34"/>
    <w:qFormat/>
    <w:rsid w:val="000A1EBE"/>
    <w:pPr>
      <w:ind w:left="720"/>
      <w:contextualSpacing/>
    </w:pPr>
  </w:style>
  <w:style w:type="character" w:styleId="Accentuationintense">
    <w:name w:val="Intense Emphasis"/>
    <w:basedOn w:val="Policepardfaut"/>
    <w:uiPriority w:val="21"/>
    <w:qFormat/>
    <w:rsid w:val="000A1EBE"/>
    <w:rPr>
      <w:i/>
      <w:iCs/>
      <w:color w:val="0F4761" w:themeColor="accent1" w:themeShade="BF"/>
    </w:rPr>
  </w:style>
  <w:style w:type="paragraph" w:styleId="Citationintense">
    <w:name w:val="Intense Quote"/>
    <w:basedOn w:val="Normal"/>
    <w:next w:val="Normal"/>
    <w:link w:val="CitationintenseCar"/>
    <w:uiPriority w:val="30"/>
    <w:qFormat/>
    <w:rsid w:val="000A1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A1EBE"/>
    <w:rPr>
      <w:i/>
      <w:iCs/>
      <w:color w:val="0F4761" w:themeColor="accent1" w:themeShade="BF"/>
    </w:rPr>
  </w:style>
  <w:style w:type="character" w:styleId="Rfrenceintense">
    <w:name w:val="Intense Reference"/>
    <w:basedOn w:val="Policepardfaut"/>
    <w:uiPriority w:val="32"/>
    <w:qFormat/>
    <w:rsid w:val="000A1EBE"/>
    <w:rPr>
      <w:b/>
      <w:bCs/>
      <w:smallCaps/>
      <w:color w:val="0F4761" w:themeColor="accent1" w:themeShade="BF"/>
      <w:spacing w:val="5"/>
    </w:rPr>
  </w:style>
  <w:style w:type="paragraph" w:styleId="Rvision">
    <w:name w:val="Revision"/>
    <w:hidden/>
    <w:uiPriority w:val="99"/>
    <w:semiHidden/>
    <w:rsid w:val="00D55104"/>
    <w:pPr>
      <w:spacing w:after="0" w:line="240" w:lineRule="auto"/>
    </w:pPr>
  </w:style>
  <w:style w:type="character" w:styleId="Marquedecommentaire">
    <w:name w:val="annotation reference"/>
    <w:basedOn w:val="Policepardfaut"/>
    <w:uiPriority w:val="99"/>
    <w:semiHidden/>
    <w:unhideWhenUsed/>
    <w:rsid w:val="00222AD5"/>
    <w:rPr>
      <w:sz w:val="16"/>
      <w:szCs w:val="16"/>
    </w:rPr>
  </w:style>
  <w:style w:type="paragraph" w:styleId="Commentaire">
    <w:name w:val="annotation text"/>
    <w:basedOn w:val="Normal"/>
    <w:link w:val="CommentaireCar"/>
    <w:uiPriority w:val="99"/>
    <w:unhideWhenUsed/>
    <w:rsid w:val="00222AD5"/>
    <w:pPr>
      <w:spacing w:line="240" w:lineRule="auto"/>
    </w:pPr>
    <w:rPr>
      <w:sz w:val="20"/>
      <w:szCs w:val="20"/>
    </w:rPr>
  </w:style>
  <w:style w:type="character" w:customStyle="1" w:styleId="CommentaireCar">
    <w:name w:val="Commentaire Car"/>
    <w:basedOn w:val="Policepardfaut"/>
    <w:link w:val="Commentaire"/>
    <w:uiPriority w:val="99"/>
    <w:rsid w:val="00222AD5"/>
    <w:rPr>
      <w:sz w:val="20"/>
      <w:szCs w:val="20"/>
    </w:rPr>
  </w:style>
  <w:style w:type="paragraph" w:styleId="Objetducommentaire">
    <w:name w:val="annotation subject"/>
    <w:basedOn w:val="Commentaire"/>
    <w:next w:val="Commentaire"/>
    <w:link w:val="ObjetducommentaireCar"/>
    <w:uiPriority w:val="99"/>
    <w:semiHidden/>
    <w:unhideWhenUsed/>
    <w:rsid w:val="00222AD5"/>
    <w:rPr>
      <w:b/>
      <w:bCs/>
    </w:rPr>
  </w:style>
  <w:style w:type="character" w:customStyle="1" w:styleId="ObjetducommentaireCar">
    <w:name w:val="Objet du commentaire Car"/>
    <w:basedOn w:val="CommentaireCar"/>
    <w:link w:val="Objetducommentaire"/>
    <w:uiPriority w:val="99"/>
    <w:semiHidden/>
    <w:rsid w:val="00222AD5"/>
    <w:rPr>
      <w:b/>
      <w:bCs/>
      <w:sz w:val="20"/>
      <w:szCs w:val="20"/>
    </w:rPr>
  </w:style>
  <w:style w:type="paragraph" w:styleId="En-tte">
    <w:name w:val="header"/>
    <w:basedOn w:val="Normal"/>
    <w:link w:val="En-tteCar"/>
    <w:uiPriority w:val="99"/>
    <w:unhideWhenUsed/>
    <w:rsid w:val="009B0C48"/>
    <w:pPr>
      <w:tabs>
        <w:tab w:val="center" w:pos="4536"/>
        <w:tab w:val="right" w:pos="9072"/>
      </w:tabs>
      <w:spacing w:after="0" w:line="240" w:lineRule="auto"/>
    </w:pPr>
  </w:style>
  <w:style w:type="character" w:customStyle="1" w:styleId="En-tteCar">
    <w:name w:val="En-tête Car"/>
    <w:basedOn w:val="Policepardfaut"/>
    <w:link w:val="En-tte"/>
    <w:uiPriority w:val="99"/>
    <w:rsid w:val="009B0C48"/>
  </w:style>
  <w:style w:type="paragraph" w:styleId="Pieddepage">
    <w:name w:val="footer"/>
    <w:basedOn w:val="Normal"/>
    <w:link w:val="PieddepageCar"/>
    <w:uiPriority w:val="99"/>
    <w:unhideWhenUsed/>
    <w:rsid w:val="009B0C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0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5D2E4-D619-406A-94C7-F94009DB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846</Words>
  <Characters>4658</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Derouane Daphné</dc:creator>
  <cp:keywords/>
  <dc:description/>
  <cp:lastModifiedBy>Richard MONNI</cp:lastModifiedBy>
  <cp:revision>3</cp:revision>
  <dcterms:created xsi:type="dcterms:W3CDTF">2024-11-12T06:25:00Z</dcterms:created>
  <dcterms:modified xsi:type="dcterms:W3CDTF">2024-11-12T06:29:00Z</dcterms:modified>
</cp:coreProperties>
</file>