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18" w:rsidRDefault="00D32818" w:rsidP="00CC1EC6">
      <w:pPr>
        <w:pStyle w:val="NoSpacing"/>
        <w:rPr>
          <w:rFonts w:ascii="Arial" w:hAnsi="Arial" w:cs="Arial"/>
        </w:rPr>
      </w:pPr>
      <w:r w:rsidRPr="005369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13D4056" wp14:editId="35D9F55D">
            <wp:simplePos x="0" y="0"/>
            <wp:positionH relativeFrom="column">
              <wp:posOffset>5038725</wp:posOffset>
            </wp:positionH>
            <wp:positionV relativeFrom="paragraph">
              <wp:posOffset>-513080</wp:posOffset>
            </wp:positionV>
            <wp:extent cx="1219200" cy="86677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356772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CC1EC6" w:rsidRPr="00536935" w:rsidRDefault="00CC1EC6" w:rsidP="00CC1EC6">
      <w:pPr>
        <w:pStyle w:val="NoSpacing"/>
        <w:rPr>
          <w:rFonts w:ascii="Arial" w:hAnsi="Arial" w:cs="Arial"/>
        </w:rPr>
      </w:pPr>
      <w:r w:rsidRPr="00536935">
        <w:rPr>
          <w:rFonts w:ascii="Arial" w:hAnsi="Arial" w:cs="Arial"/>
        </w:rPr>
        <w:t>2017 Congrès mondial AIPPI – Sydney</w:t>
      </w:r>
    </w:p>
    <w:p w:rsidR="00CC1EC6" w:rsidRPr="00536935" w:rsidRDefault="00536935" w:rsidP="00CC1E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72692" w:rsidRPr="00536935">
        <w:rPr>
          <w:rFonts w:ascii="Arial" w:hAnsi="Arial" w:cs="Arial"/>
        </w:rPr>
        <w:t xml:space="preserve">ésolution </w:t>
      </w:r>
      <w:r>
        <w:rPr>
          <w:rFonts w:ascii="Arial" w:hAnsi="Arial" w:cs="Arial"/>
        </w:rPr>
        <w:t>adoptée</w:t>
      </w:r>
    </w:p>
    <w:p w:rsidR="00CC1EC6" w:rsidRDefault="00D32818" w:rsidP="00CC1EC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C2843" w:rsidRPr="00536935">
        <w:rPr>
          <w:rFonts w:ascii="Arial" w:hAnsi="Arial" w:cs="Arial"/>
        </w:rPr>
        <w:t xml:space="preserve"> </w:t>
      </w:r>
      <w:r w:rsidR="00CC1EC6" w:rsidRPr="00536935">
        <w:rPr>
          <w:rFonts w:ascii="Arial" w:hAnsi="Arial" w:cs="Arial"/>
        </w:rPr>
        <w:t>Octobre 2017</w:t>
      </w: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D32818" w:rsidRDefault="00D32818" w:rsidP="00CC1EC6">
      <w:pPr>
        <w:pStyle w:val="NoSpacing"/>
        <w:rPr>
          <w:rFonts w:ascii="Arial" w:hAnsi="Arial" w:cs="Arial"/>
        </w:rPr>
      </w:pPr>
    </w:p>
    <w:p w:rsidR="00D32818" w:rsidRPr="00536935" w:rsidRDefault="00D32818" w:rsidP="00CC1EC6">
      <w:pPr>
        <w:pStyle w:val="NoSpacing"/>
        <w:rPr>
          <w:rFonts w:ascii="Arial" w:hAnsi="Arial" w:cs="Arial"/>
        </w:rPr>
      </w:pPr>
    </w:p>
    <w:p w:rsidR="00CC1EC6" w:rsidRPr="00536935" w:rsidRDefault="00CC1EC6" w:rsidP="00CC1EC6">
      <w:pPr>
        <w:pStyle w:val="NoSpacing"/>
        <w:rPr>
          <w:rFonts w:ascii="Arial" w:hAnsi="Arial" w:cs="Arial"/>
        </w:rPr>
      </w:pPr>
    </w:p>
    <w:p w:rsidR="00CC1EC6" w:rsidRPr="00536935" w:rsidRDefault="00CC1EC6" w:rsidP="00536935">
      <w:pPr>
        <w:spacing w:after="0" w:line="240" w:lineRule="auto"/>
        <w:jc w:val="center"/>
        <w:rPr>
          <w:rFonts w:ascii="Arial" w:eastAsiaTheme="minorEastAsia" w:hAnsi="Arial" w:cs="Arial"/>
          <w:b/>
          <w:lang w:val="en-GB"/>
        </w:rPr>
      </w:pPr>
      <w:r w:rsidRPr="00536935">
        <w:rPr>
          <w:rFonts w:ascii="Arial" w:eastAsiaTheme="minorEastAsia" w:hAnsi="Arial" w:cs="Arial"/>
          <w:b/>
          <w:lang w:val="en-GB"/>
        </w:rPr>
        <w:t>Résolution</w:t>
      </w:r>
    </w:p>
    <w:p w:rsidR="00CC1EC6" w:rsidRPr="00536935" w:rsidRDefault="00CC1EC6" w:rsidP="00536935">
      <w:pPr>
        <w:spacing w:after="0" w:line="240" w:lineRule="auto"/>
        <w:jc w:val="center"/>
        <w:rPr>
          <w:rFonts w:ascii="Arial" w:eastAsiaTheme="minorEastAsia" w:hAnsi="Arial" w:cs="Arial"/>
          <w:b/>
          <w:lang w:val="en-GB"/>
        </w:rPr>
      </w:pPr>
    </w:p>
    <w:p w:rsidR="00CC1EC6" w:rsidRDefault="00E72692" w:rsidP="00536935">
      <w:pPr>
        <w:spacing w:after="0" w:line="240" w:lineRule="auto"/>
        <w:jc w:val="center"/>
        <w:rPr>
          <w:rFonts w:ascii="Arial" w:eastAsiaTheme="minorEastAsia" w:hAnsi="Arial" w:cs="Arial"/>
          <w:b/>
          <w:lang w:val="en-GB"/>
        </w:rPr>
      </w:pPr>
      <w:r w:rsidRPr="00536935">
        <w:rPr>
          <w:rFonts w:ascii="Arial" w:eastAsiaTheme="minorEastAsia" w:hAnsi="Arial" w:cs="Arial"/>
          <w:b/>
          <w:lang w:val="en-GB"/>
        </w:rPr>
        <w:t>2017 – Question à l’étude</w:t>
      </w:r>
      <w:r w:rsidR="00CC1EC6" w:rsidRPr="00536935">
        <w:rPr>
          <w:rFonts w:ascii="Arial" w:eastAsiaTheme="minorEastAsia" w:hAnsi="Arial" w:cs="Arial"/>
          <w:b/>
          <w:lang w:val="en-GB"/>
        </w:rPr>
        <w:t xml:space="preserve"> (Générale)</w:t>
      </w:r>
    </w:p>
    <w:p w:rsidR="00536935" w:rsidRPr="00536935" w:rsidRDefault="00536935" w:rsidP="00536935">
      <w:pPr>
        <w:spacing w:after="0" w:line="240" w:lineRule="auto"/>
        <w:jc w:val="center"/>
        <w:rPr>
          <w:rFonts w:ascii="Arial" w:eastAsiaTheme="minorEastAsia" w:hAnsi="Arial" w:cs="Arial"/>
          <w:b/>
          <w:lang w:val="en-GB"/>
        </w:rPr>
      </w:pPr>
    </w:p>
    <w:p w:rsidR="00CC1EC6" w:rsidRPr="00536935" w:rsidRDefault="00CC1EC6" w:rsidP="00536935">
      <w:pPr>
        <w:spacing w:after="0" w:line="240" w:lineRule="auto"/>
        <w:jc w:val="center"/>
        <w:rPr>
          <w:rFonts w:ascii="Arial" w:eastAsiaTheme="minorEastAsia" w:hAnsi="Arial" w:cs="Arial"/>
          <w:b/>
          <w:lang w:val="en-GB"/>
        </w:rPr>
      </w:pPr>
      <w:r w:rsidRPr="00536935">
        <w:rPr>
          <w:rFonts w:ascii="Arial" w:eastAsiaTheme="minorEastAsia" w:hAnsi="Arial" w:cs="Arial"/>
          <w:b/>
          <w:lang w:val="en-GB"/>
        </w:rPr>
        <w:t>La quantification de la réparation pécuniaire</w:t>
      </w:r>
    </w:p>
    <w:p w:rsidR="00CC1EC6" w:rsidRPr="00D32818" w:rsidRDefault="00CC1EC6" w:rsidP="00D32818">
      <w:pPr>
        <w:pBdr>
          <w:bottom w:val="single" w:sz="4" w:space="1" w:color="auto"/>
        </w:pBdr>
        <w:spacing w:after="0" w:line="240" w:lineRule="auto"/>
        <w:rPr>
          <w:rFonts w:ascii="Arial" w:eastAsiaTheme="minorEastAsia" w:hAnsi="Arial" w:cs="Arial"/>
          <w:lang w:val="en-GB"/>
        </w:rPr>
      </w:pPr>
    </w:p>
    <w:p w:rsidR="00D32818" w:rsidRDefault="00D32818" w:rsidP="00D32818">
      <w:pPr>
        <w:spacing w:after="0" w:line="240" w:lineRule="auto"/>
        <w:rPr>
          <w:rFonts w:ascii="Arial" w:eastAsiaTheme="minorEastAsia" w:hAnsi="Arial" w:cs="Arial"/>
          <w:lang w:val="en-GB"/>
        </w:rPr>
      </w:pPr>
    </w:p>
    <w:p w:rsidR="00D32818" w:rsidRDefault="00D32818" w:rsidP="00D32818">
      <w:pPr>
        <w:spacing w:after="0" w:line="240" w:lineRule="auto"/>
        <w:rPr>
          <w:rFonts w:ascii="Arial" w:eastAsiaTheme="minorEastAsia" w:hAnsi="Arial" w:cs="Arial"/>
          <w:lang w:val="en-GB"/>
        </w:rPr>
      </w:pPr>
    </w:p>
    <w:p w:rsidR="00CC1EC6" w:rsidRPr="0092659E" w:rsidRDefault="00CC1EC6" w:rsidP="00D32818">
      <w:pPr>
        <w:spacing w:after="0" w:line="240" w:lineRule="auto"/>
        <w:rPr>
          <w:rFonts w:ascii="Arial" w:hAnsi="Arial" w:cs="Arial"/>
          <w:b/>
        </w:rPr>
      </w:pPr>
      <w:r w:rsidRPr="0092659E">
        <w:rPr>
          <w:rFonts w:ascii="Arial" w:eastAsiaTheme="minorEastAsia" w:hAnsi="Arial" w:cs="Arial"/>
          <w:b/>
        </w:rPr>
        <w:t>Conte</w:t>
      </w:r>
      <w:r w:rsidRPr="0092659E">
        <w:rPr>
          <w:rFonts w:ascii="Arial" w:hAnsi="Arial" w:cs="Arial"/>
          <w:b/>
        </w:rPr>
        <w:t>xte</w:t>
      </w:r>
      <w:r w:rsidR="00D32818" w:rsidRPr="0092659E">
        <w:rPr>
          <w:rFonts w:ascii="Arial" w:hAnsi="Arial" w:cs="Arial"/>
          <w:b/>
        </w:rPr>
        <w:t> :</w:t>
      </w:r>
    </w:p>
    <w:p w:rsidR="00D32818" w:rsidRPr="00D32818" w:rsidRDefault="00D32818" w:rsidP="00D32818">
      <w:pPr>
        <w:spacing w:after="0" w:line="240" w:lineRule="auto"/>
        <w:rPr>
          <w:rFonts w:ascii="Arial" w:hAnsi="Arial" w:cs="Arial"/>
          <w:b/>
        </w:rPr>
      </w:pPr>
    </w:p>
    <w:p w:rsidR="00CC1EC6" w:rsidRPr="00536935" w:rsidRDefault="00BC0ED4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Cette R</w:t>
      </w:r>
      <w:r w:rsidR="00E00ADD" w:rsidRPr="00536935">
        <w:rPr>
          <w:rFonts w:ascii="Arial" w:hAnsi="Arial" w:cs="Arial"/>
        </w:rPr>
        <w:t>ésolution concerne la quantification de la réparation pécuniaire en lien avec la</w:t>
      </w:r>
      <w:r w:rsidR="00FF5587" w:rsidRPr="00536935">
        <w:rPr>
          <w:rFonts w:ascii="Arial" w:hAnsi="Arial" w:cs="Arial"/>
        </w:rPr>
        <w:t> c</w:t>
      </w:r>
      <w:r w:rsidR="00E00ADD" w:rsidRPr="00536935">
        <w:rPr>
          <w:rFonts w:ascii="Arial" w:hAnsi="Arial" w:cs="Arial"/>
        </w:rPr>
        <w:t>ontrefaçon de</w:t>
      </w:r>
      <w:r w:rsidR="00E72692" w:rsidRPr="00536935">
        <w:rPr>
          <w:rFonts w:ascii="Arial" w:hAnsi="Arial" w:cs="Arial"/>
        </w:rPr>
        <w:t>s</w:t>
      </w:r>
      <w:r w:rsidR="00E00ADD" w:rsidRPr="00536935">
        <w:rPr>
          <w:rFonts w:ascii="Arial" w:hAnsi="Arial" w:cs="Arial"/>
        </w:rPr>
        <w:t xml:space="preserve"> droits de propriété intellectuelle</w:t>
      </w:r>
      <w:r w:rsidRPr="00536935">
        <w:rPr>
          <w:rFonts w:ascii="Arial" w:hAnsi="Arial" w:cs="Arial"/>
        </w:rPr>
        <w:t xml:space="preserve"> (</w:t>
      </w:r>
      <w:r w:rsidRPr="00536935">
        <w:rPr>
          <w:rFonts w:ascii="Arial" w:hAnsi="Arial" w:cs="Arial"/>
          <w:b/>
        </w:rPr>
        <w:t>PI</w:t>
      </w:r>
      <w:r w:rsidRPr="00536935">
        <w:rPr>
          <w:rFonts w:ascii="Arial" w:hAnsi="Arial" w:cs="Arial"/>
        </w:rPr>
        <w:t>)</w:t>
      </w:r>
      <w:r w:rsidR="00E00ADD" w:rsidRPr="00536935">
        <w:rPr>
          <w:rFonts w:ascii="Arial" w:hAnsi="Arial" w:cs="Arial"/>
        </w:rPr>
        <w:t>. Cette résolution ne co</w:t>
      </w:r>
      <w:r w:rsidR="00C77ED3" w:rsidRPr="00536935">
        <w:rPr>
          <w:rFonts w:ascii="Arial" w:hAnsi="Arial" w:cs="Arial"/>
        </w:rPr>
        <w:t>ncerne pas les</w:t>
      </w:r>
      <w:r w:rsidR="00FF5587" w:rsidRPr="00536935">
        <w:rPr>
          <w:rFonts w:ascii="Arial" w:hAnsi="Arial" w:cs="Arial"/>
        </w:rPr>
        <w:t> </w:t>
      </w:r>
      <w:r w:rsidR="000C2843" w:rsidRPr="00536935">
        <w:rPr>
          <w:rFonts w:ascii="Arial" w:hAnsi="Arial" w:cs="Arial"/>
        </w:rPr>
        <w:t xml:space="preserve">dommages-intérêts tarifés, les </w:t>
      </w:r>
      <w:r w:rsidR="00C77ED3" w:rsidRPr="00536935">
        <w:rPr>
          <w:rFonts w:ascii="Arial" w:hAnsi="Arial" w:cs="Arial"/>
        </w:rPr>
        <w:t xml:space="preserve">profits réalisés </w:t>
      </w:r>
      <w:r w:rsidR="00E00ADD" w:rsidRPr="00536935">
        <w:rPr>
          <w:rFonts w:ascii="Arial" w:hAnsi="Arial" w:cs="Arial"/>
        </w:rPr>
        <w:t xml:space="preserve">ou toute autre réparation selon laquelle les profits illicites </w:t>
      </w:r>
      <w:r w:rsidR="00536935" w:rsidRPr="00536935">
        <w:rPr>
          <w:rFonts w:ascii="Arial" w:hAnsi="Arial" w:cs="Arial"/>
        </w:rPr>
        <w:t>du</w:t>
      </w:r>
      <w:r w:rsidR="00FD06B1" w:rsidRPr="00536935">
        <w:rPr>
          <w:rFonts w:ascii="Arial" w:hAnsi="Arial" w:cs="Arial"/>
        </w:rPr>
        <w:t xml:space="preserve"> contrefacteur </w:t>
      </w:r>
      <w:r w:rsidR="00E00ADD" w:rsidRPr="00536935">
        <w:rPr>
          <w:rFonts w:ascii="Arial" w:hAnsi="Arial" w:cs="Arial"/>
        </w:rPr>
        <w:t>ser</w:t>
      </w:r>
      <w:r w:rsidR="00DB51D8" w:rsidRPr="00536935">
        <w:rPr>
          <w:rFonts w:ascii="Arial" w:hAnsi="Arial" w:cs="Arial"/>
        </w:rPr>
        <w:t>aient alloués</w:t>
      </w:r>
      <w:r w:rsidR="00E00ADD" w:rsidRPr="00536935">
        <w:rPr>
          <w:rFonts w:ascii="Arial" w:hAnsi="Arial" w:cs="Arial"/>
        </w:rPr>
        <w:t xml:space="preserve"> au titulaire de</w:t>
      </w:r>
      <w:r w:rsidR="008B35A6" w:rsidRPr="00536935">
        <w:rPr>
          <w:rFonts w:ascii="Arial" w:hAnsi="Arial" w:cs="Arial"/>
        </w:rPr>
        <w:t>s</w:t>
      </w:r>
      <w:r w:rsidR="00E00ADD" w:rsidRPr="00536935">
        <w:rPr>
          <w:rFonts w:ascii="Arial" w:hAnsi="Arial" w:cs="Arial"/>
        </w:rPr>
        <w:t xml:space="preserve"> droit</w:t>
      </w:r>
      <w:r w:rsidR="008B35A6" w:rsidRPr="00536935">
        <w:rPr>
          <w:rFonts w:ascii="Arial" w:hAnsi="Arial" w:cs="Arial"/>
        </w:rPr>
        <w:t>s</w:t>
      </w:r>
      <w:r w:rsidR="00E00ADD" w:rsidRPr="00536935">
        <w:rPr>
          <w:rFonts w:ascii="Arial" w:hAnsi="Arial" w:cs="Arial"/>
        </w:rPr>
        <w:t>.</w:t>
      </w:r>
    </w:p>
    <w:p w:rsidR="00711AA6" w:rsidRPr="00536935" w:rsidRDefault="00E00ADD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  <w:i/>
        </w:rPr>
      </w:pPr>
      <w:r w:rsidRPr="00536935">
        <w:rPr>
          <w:rFonts w:ascii="Arial" w:hAnsi="Arial" w:cs="Arial"/>
        </w:rPr>
        <w:t>Les problématiques spécifiques liées au</w:t>
      </w:r>
      <w:r w:rsidR="0081072D" w:rsidRPr="00536935">
        <w:rPr>
          <w:rFonts w:ascii="Arial" w:hAnsi="Arial" w:cs="Arial"/>
        </w:rPr>
        <w:t>x redevances</w:t>
      </w:r>
      <w:r w:rsidRPr="00536935">
        <w:rPr>
          <w:rFonts w:ascii="Arial" w:hAnsi="Arial" w:cs="Arial"/>
        </w:rPr>
        <w:t xml:space="preserve"> FRAND (juste, raisonnable </w:t>
      </w:r>
      <w:r w:rsidR="008B35A6" w:rsidRPr="00536935">
        <w:rPr>
          <w:rFonts w:ascii="Arial" w:hAnsi="Arial" w:cs="Arial"/>
        </w:rPr>
        <w:t>et non discriminatoire)</w:t>
      </w:r>
      <w:r w:rsidR="007D383F" w:rsidRPr="00536935">
        <w:rPr>
          <w:rFonts w:ascii="Arial" w:hAnsi="Arial" w:cs="Arial"/>
          <w:i/>
        </w:rPr>
        <w:t xml:space="preserve"> </w:t>
      </w:r>
      <w:r w:rsidR="0081072D" w:rsidRPr="00536935">
        <w:rPr>
          <w:rFonts w:ascii="Arial" w:hAnsi="Arial" w:cs="Arial"/>
        </w:rPr>
        <w:t>dans le contexte des brevets essentiel</w:t>
      </w:r>
      <w:r w:rsidR="008E0459" w:rsidRPr="00536935">
        <w:rPr>
          <w:rFonts w:ascii="Arial" w:hAnsi="Arial" w:cs="Arial"/>
        </w:rPr>
        <w:t>s</w:t>
      </w:r>
      <w:r w:rsidR="008B35A6" w:rsidRPr="00536935">
        <w:rPr>
          <w:rFonts w:ascii="Arial" w:hAnsi="Arial" w:cs="Arial"/>
        </w:rPr>
        <w:t xml:space="preserve"> s</w:t>
      </w:r>
      <w:r w:rsidR="0081072D" w:rsidRPr="00536935">
        <w:rPr>
          <w:rFonts w:ascii="Arial" w:hAnsi="Arial" w:cs="Arial"/>
        </w:rPr>
        <w:t>o</w:t>
      </w:r>
      <w:r w:rsidR="008B35A6" w:rsidRPr="00536935">
        <w:rPr>
          <w:rFonts w:ascii="Arial" w:hAnsi="Arial" w:cs="Arial"/>
        </w:rPr>
        <w:t xml:space="preserve">nt hors </w:t>
      </w:r>
      <w:r w:rsidR="00711AA6" w:rsidRPr="00536935">
        <w:rPr>
          <w:rFonts w:ascii="Arial" w:hAnsi="Arial" w:cs="Arial"/>
        </w:rPr>
        <w:t>du champ</w:t>
      </w:r>
      <w:r w:rsidR="008B35A6" w:rsidRPr="00536935">
        <w:rPr>
          <w:rFonts w:ascii="Arial" w:hAnsi="Arial" w:cs="Arial"/>
        </w:rPr>
        <w:t xml:space="preserve"> de cette R</w:t>
      </w:r>
      <w:r w:rsidR="0081072D" w:rsidRPr="00536935">
        <w:rPr>
          <w:rFonts w:ascii="Arial" w:hAnsi="Arial" w:cs="Arial"/>
        </w:rPr>
        <w:t>ésolution,</w:t>
      </w:r>
      <w:r w:rsidR="008B35A6" w:rsidRPr="00536935">
        <w:rPr>
          <w:rFonts w:ascii="Arial" w:hAnsi="Arial" w:cs="Arial"/>
        </w:rPr>
        <w:t xml:space="preserve"> sauf si </w:t>
      </w:r>
      <w:r w:rsidR="00711AA6" w:rsidRPr="00536935">
        <w:rPr>
          <w:rFonts w:ascii="Arial" w:hAnsi="Arial" w:cs="Arial"/>
        </w:rPr>
        <w:t xml:space="preserve">ces redevances raisonnables sont pertinentes </w:t>
      </w:r>
      <w:r w:rsidR="0097413D" w:rsidRPr="00536935">
        <w:rPr>
          <w:rFonts w:ascii="Arial" w:hAnsi="Arial" w:cs="Arial"/>
        </w:rPr>
        <w:t>pour</w:t>
      </w:r>
      <w:r w:rsidR="0097413D" w:rsidRPr="00536935">
        <w:rPr>
          <w:rFonts w:ascii="Arial" w:hAnsi="Arial" w:cs="Arial"/>
          <w:i/>
        </w:rPr>
        <w:t xml:space="preserve"> </w:t>
      </w:r>
      <w:r w:rsidR="007D383F" w:rsidRPr="00536935">
        <w:rPr>
          <w:rFonts w:ascii="Arial" w:hAnsi="Arial" w:cs="Arial"/>
        </w:rPr>
        <w:t>la quantification des dommages</w:t>
      </w:r>
      <w:r w:rsidR="00711AA6" w:rsidRPr="00536935">
        <w:rPr>
          <w:rFonts w:ascii="Arial" w:hAnsi="Arial" w:cs="Arial"/>
          <w:i/>
        </w:rPr>
        <w:t xml:space="preserve"> </w:t>
      </w:r>
      <w:r w:rsidR="00711AA6" w:rsidRPr="00536935">
        <w:rPr>
          <w:rFonts w:ascii="Arial" w:hAnsi="Arial" w:cs="Arial"/>
        </w:rPr>
        <w:t>de manière générale.</w:t>
      </w:r>
    </w:p>
    <w:p w:rsidR="00711AA6" w:rsidRPr="00536935" w:rsidRDefault="008B35A6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L’objectif premier de cette R</w:t>
      </w:r>
      <w:r w:rsidR="00711AA6" w:rsidRPr="00536935">
        <w:rPr>
          <w:rFonts w:ascii="Arial" w:hAnsi="Arial" w:cs="Arial"/>
        </w:rPr>
        <w:t>ésolution est d’exposer d</w:t>
      </w:r>
      <w:r w:rsidRPr="00536935">
        <w:rPr>
          <w:rFonts w:ascii="Arial" w:hAnsi="Arial" w:cs="Arial"/>
        </w:rPr>
        <w:t>es méthodes de quantification des</w:t>
      </w:r>
      <w:r w:rsidR="00711AA6" w:rsidRPr="00536935">
        <w:rPr>
          <w:rFonts w:ascii="Arial" w:hAnsi="Arial" w:cs="Arial"/>
        </w:rPr>
        <w:t xml:space="preserve"> dommage</w:t>
      </w:r>
      <w:r w:rsidRPr="00536935">
        <w:rPr>
          <w:rFonts w:ascii="Arial" w:hAnsi="Arial" w:cs="Arial"/>
        </w:rPr>
        <w:t>s</w:t>
      </w:r>
      <w:r w:rsidR="00FD06B1" w:rsidRPr="00536935">
        <w:rPr>
          <w:rFonts w:ascii="Arial" w:hAnsi="Arial" w:cs="Arial"/>
        </w:rPr>
        <w:t xml:space="preserve"> </w:t>
      </w:r>
      <w:r w:rsidR="00711AA6" w:rsidRPr="00536935">
        <w:rPr>
          <w:rFonts w:ascii="Arial" w:hAnsi="Arial" w:cs="Arial"/>
        </w:rPr>
        <w:t xml:space="preserve">afin de parvenir </w:t>
      </w:r>
      <w:r w:rsidR="00BC0ED4" w:rsidRPr="00536935">
        <w:rPr>
          <w:rFonts w:ascii="Arial" w:hAnsi="Arial" w:cs="Arial"/>
        </w:rPr>
        <w:t>à une méthode plus harmonis</w:t>
      </w:r>
      <w:r w:rsidRPr="00536935">
        <w:rPr>
          <w:rFonts w:ascii="Arial" w:hAnsi="Arial" w:cs="Arial"/>
        </w:rPr>
        <w:t>ée et cohérente d’indemnisation des dommages. Un but</w:t>
      </w:r>
      <w:r w:rsidR="007D383F" w:rsidRPr="00536935">
        <w:rPr>
          <w:rFonts w:ascii="Arial" w:hAnsi="Arial" w:cs="Arial"/>
        </w:rPr>
        <w:t xml:space="preserve"> de cette R</w:t>
      </w:r>
      <w:r w:rsidR="00711AA6" w:rsidRPr="00536935">
        <w:rPr>
          <w:rFonts w:ascii="Arial" w:hAnsi="Arial" w:cs="Arial"/>
        </w:rPr>
        <w:t>ésolution est de déterminer la manière dont le préjudice monétaire devrait être</w:t>
      </w:r>
      <w:r w:rsidR="008E0459" w:rsidRPr="00536935">
        <w:rPr>
          <w:rFonts w:ascii="Arial" w:hAnsi="Arial" w:cs="Arial"/>
        </w:rPr>
        <w:t xml:space="preserve"> calculé suivant </w:t>
      </w:r>
      <w:r w:rsidR="00711AA6" w:rsidRPr="00536935">
        <w:rPr>
          <w:rFonts w:ascii="Arial" w:hAnsi="Arial" w:cs="Arial"/>
        </w:rPr>
        <w:t>des méthodes justes et objectives.</w:t>
      </w:r>
    </w:p>
    <w:p w:rsidR="00711AA6" w:rsidRPr="00536935" w:rsidRDefault="00C30D9B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Dans cette R</w:t>
      </w:r>
      <w:r w:rsidR="00711AA6" w:rsidRPr="00536935">
        <w:rPr>
          <w:rFonts w:ascii="Arial" w:hAnsi="Arial" w:cs="Arial"/>
        </w:rPr>
        <w:t xml:space="preserve">ésolution : </w:t>
      </w:r>
    </w:p>
    <w:p w:rsidR="008E0459" w:rsidRPr="00536935" w:rsidRDefault="00D85C89" w:rsidP="00D32818">
      <w:pPr>
        <w:pStyle w:val="ListParagraph"/>
        <w:numPr>
          <w:ilvl w:val="1"/>
          <w:numId w:val="3"/>
        </w:numPr>
        <w:spacing w:after="120" w:line="240" w:lineRule="auto"/>
        <w:ind w:hanging="731"/>
        <w:contextualSpacing w:val="0"/>
        <w:jc w:val="both"/>
        <w:rPr>
          <w:rFonts w:ascii="Arial" w:hAnsi="Arial" w:cs="Arial"/>
        </w:rPr>
      </w:pPr>
      <w:r w:rsidRPr="00D32818">
        <w:rPr>
          <w:rFonts w:ascii="Arial" w:eastAsiaTheme="minorEastAsia" w:hAnsi="Arial" w:cs="Arial"/>
          <w:lang w:val="en-GB"/>
        </w:rPr>
        <w:t>l</w:t>
      </w:r>
      <w:r w:rsidR="008E0459" w:rsidRPr="00D32818">
        <w:rPr>
          <w:rFonts w:ascii="Arial" w:eastAsiaTheme="minorEastAsia" w:hAnsi="Arial" w:cs="Arial"/>
          <w:lang w:val="en-GB"/>
        </w:rPr>
        <w:t>’expression</w:t>
      </w:r>
      <w:r w:rsidR="008E0459" w:rsidRPr="00536935">
        <w:rPr>
          <w:rFonts w:ascii="Arial" w:hAnsi="Arial" w:cs="Arial"/>
        </w:rPr>
        <w:t xml:space="preserve"> </w:t>
      </w:r>
      <w:r w:rsidR="00711AA6" w:rsidRPr="00536935">
        <w:rPr>
          <w:rFonts w:ascii="Arial" w:hAnsi="Arial" w:cs="Arial"/>
          <w:b/>
          <w:i/>
        </w:rPr>
        <w:t>droits de PI</w:t>
      </w:r>
      <w:r w:rsidR="00711AA6" w:rsidRPr="00536935">
        <w:rPr>
          <w:rFonts w:ascii="Arial" w:hAnsi="Arial" w:cs="Arial"/>
        </w:rPr>
        <w:t xml:space="preserve"> comprend les brevets et les certificats complémentaires de protecti</w:t>
      </w:r>
      <w:r w:rsidR="00D9280A" w:rsidRPr="00536935">
        <w:rPr>
          <w:rFonts w:ascii="Arial" w:hAnsi="Arial" w:cs="Arial"/>
        </w:rPr>
        <w:t>on, les brevets de courte durée</w:t>
      </w:r>
      <w:r w:rsidR="00FD06B1" w:rsidRPr="00536935">
        <w:rPr>
          <w:rFonts w:ascii="Arial" w:hAnsi="Arial" w:cs="Arial"/>
        </w:rPr>
        <w:t xml:space="preserve"> et</w:t>
      </w:r>
      <w:r w:rsidR="00711AA6" w:rsidRPr="00536935">
        <w:rPr>
          <w:rFonts w:ascii="Arial" w:hAnsi="Arial" w:cs="Arial"/>
        </w:rPr>
        <w:t xml:space="preserve"> les certificats</w:t>
      </w:r>
      <w:r w:rsidR="00A01A42" w:rsidRPr="00536935">
        <w:rPr>
          <w:rFonts w:ascii="Arial" w:hAnsi="Arial" w:cs="Arial"/>
        </w:rPr>
        <w:t xml:space="preserve"> d’utilité</w:t>
      </w:r>
      <w:r w:rsidR="00711AA6" w:rsidRPr="00536935">
        <w:rPr>
          <w:rFonts w:ascii="Arial" w:hAnsi="Arial" w:cs="Arial"/>
        </w:rPr>
        <w:t xml:space="preserve">, les </w:t>
      </w:r>
      <w:r w:rsidR="008E0459" w:rsidRPr="00536935">
        <w:rPr>
          <w:rFonts w:ascii="Arial" w:hAnsi="Arial" w:cs="Arial"/>
        </w:rPr>
        <w:t>marques de commerce, la lutte contre</w:t>
      </w:r>
      <w:r w:rsidR="00A01A42" w:rsidRPr="00536935">
        <w:rPr>
          <w:rFonts w:ascii="Arial" w:hAnsi="Arial" w:cs="Arial"/>
        </w:rPr>
        <w:t xml:space="preserve"> la concurrence déloyale ou la copie, les droits d’auteur</w:t>
      </w:r>
      <w:r w:rsidR="0000292C" w:rsidRPr="00536935">
        <w:rPr>
          <w:rFonts w:ascii="Arial" w:hAnsi="Arial" w:cs="Arial"/>
        </w:rPr>
        <w:t>, les droits sur les topographies de semi-conducteur</w:t>
      </w:r>
      <w:r w:rsidR="008E0459" w:rsidRPr="00536935">
        <w:rPr>
          <w:rFonts w:ascii="Arial" w:hAnsi="Arial" w:cs="Arial"/>
        </w:rPr>
        <w:t xml:space="preserve">, les droits sur les </w:t>
      </w:r>
      <w:r w:rsidR="0000292C" w:rsidRPr="00536935">
        <w:rPr>
          <w:rFonts w:ascii="Arial" w:hAnsi="Arial" w:cs="Arial"/>
        </w:rPr>
        <w:t>ba</w:t>
      </w:r>
      <w:r w:rsidR="008E0459" w:rsidRPr="00536935">
        <w:rPr>
          <w:rFonts w:ascii="Arial" w:hAnsi="Arial" w:cs="Arial"/>
        </w:rPr>
        <w:t>ses de données et les droits sur les</w:t>
      </w:r>
      <w:r w:rsidR="0000292C" w:rsidRPr="00536935">
        <w:rPr>
          <w:rFonts w:ascii="Arial" w:hAnsi="Arial" w:cs="Arial"/>
        </w:rPr>
        <w:t xml:space="preserve"> dessins et mo</w:t>
      </w:r>
      <w:r w:rsidR="00A01A42" w:rsidRPr="00536935">
        <w:rPr>
          <w:rFonts w:ascii="Arial" w:hAnsi="Arial" w:cs="Arial"/>
        </w:rPr>
        <w:t xml:space="preserve">dèles, mais </w:t>
      </w:r>
      <w:r w:rsidR="003F4BCC" w:rsidRPr="00536935">
        <w:rPr>
          <w:rFonts w:ascii="Arial" w:hAnsi="Arial" w:cs="Arial"/>
        </w:rPr>
        <w:t xml:space="preserve">ne comprend pas les secrets </w:t>
      </w:r>
      <w:r w:rsidR="00A01A42" w:rsidRPr="00536935">
        <w:rPr>
          <w:rFonts w:ascii="Arial" w:hAnsi="Arial" w:cs="Arial"/>
        </w:rPr>
        <w:t>de fabrique, le droit au secret</w:t>
      </w:r>
      <w:r w:rsidR="003F4BCC" w:rsidRPr="00536935">
        <w:rPr>
          <w:rFonts w:ascii="Arial" w:hAnsi="Arial" w:cs="Arial"/>
          <w:i/>
        </w:rPr>
        <w:t xml:space="preserve">, </w:t>
      </w:r>
      <w:r w:rsidR="00A01A42" w:rsidRPr="00536935">
        <w:rPr>
          <w:rFonts w:ascii="Arial" w:hAnsi="Arial" w:cs="Arial"/>
        </w:rPr>
        <w:t>le savoir</w:t>
      </w:r>
      <w:r w:rsidR="00FD06B1" w:rsidRPr="00536935">
        <w:rPr>
          <w:rFonts w:ascii="Arial" w:hAnsi="Arial" w:cs="Arial"/>
        </w:rPr>
        <w:t>-</w:t>
      </w:r>
      <w:r w:rsidR="00A01A42" w:rsidRPr="00536935">
        <w:rPr>
          <w:rFonts w:ascii="Arial" w:hAnsi="Arial" w:cs="Arial"/>
        </w:rPr>
        <w:t>faire</w:t>
      </w:r>
      <w:r w:rsidR="007D383F" w:rsidRPr="00536935">
        <w:rPr>
          <w:rFonts w:ascii="Arial" w:hAnsi="Arial" w:cs="Arial"/>
        </w:rPr>
        <w:t> ;</w:t>
      </w:r>
    </w:p>
    <w:p w:rsidR="008E0459" w:rsidRPr="00536935" w:rsidRDefault="007D383F" w:rsidP="00D32818">
      <w:pPr>
        <w:pStyle w:val="ListParagraph"/>
        <w:numPr>
          <w:ilvl w:val="1"/>
          <w:numId w:val="3"/>
        </w:numPr>
        <w:spacing w:after="120" w:line="240" w:lineRule="auto"/>
        <w:ind w:hanging="731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17130E" w:rsidRPr="00536935">
        <w:rPr>
          <w:rFonts w:ascii="Arial" w:hAnsi="Arial" w:cs="Arial"/>
        </w:rPr>
        <w:t>’expression</w:t>
      </w:r>
      <w:r w:rsidR="00782351" w:rsidRPr="00536935">
        <w:rPr>
          <w:rFonts w:ascii="Arial" w:hAnsi="Arial" w:cs="Arial"/>
        </w:rPr>
        <w:t xml:space="preserve"> </w:t>
      </w:r>
      <w:r w:rsidR="00782351" w:rsidRPr="00536935">
        <w:rPr>
          <w:rFonts w:ascii="Arial" w:hAnsi="Arial" w:cs="Arial"/>
          <w:b/>
          <w:i/>
        </w:rPr>
        <w:t xml:space="preserve">dommages </w:t>
      </w:r>
      <w:r w:rsidR="00782351" w:rsidRPr="00536935">
        <w:rPr>
          <w:rFonts w:ascii="Arial" w:hAnsi="Arial" w:cs="Arial"/>
        </w:rPr>
        <w:t xml:space="preserve">renvoie </w:t>
      </w:r>
      <w:r w:rsidR="00701475" w:rsidRPr="00536935">
        <w:rPr>
          <w:rFonts w:ascii="Arial" w:hAnsi="Arial" w:cs="Arial"/>
        </w:rPr>
        <w:t>à la réparation pécun</w:t>
      </w:r>
      <w:r w:rsidR="00A01A42" w:rsidRPr="00536935">
        <w:rPr>
          <w:rFonts w:ascii="Arial" w:hAnsi="Arial" w:cs="Arial"/>
        </w:rPr>
        <w:t>iaire prévue pour l</w:t>
      </w:r>
      <w:r w:rsidR="00701475" w:rsidRPr="00536935">
        <w:rPr>
          <w:rFonts w:ascii="Arial" w:hAnsi="Arial" w:cs="Arial"/>
        </w:rPr>
        <w:t xml:space="preserve">es droits de </w:t>
      </w:r>
      <w:r w:rsidR="00A01A42" w:rsidRPr="00536935">
        <w:rPr>
          <w:rFonts w:ascii="Arial" w:hAnsi="Arial" w:cs="Arial"/>
        </w:rPr>
        <w:t>PI</w:t>
      </w:r>
      <w:r w:rsidR="004B368D" w:rsidRPr="00536935">
        <w:rPr>
          <w:rFonts w:ascii="Arial" w:hAnsi="Arial" w:cs="Arial"/>
        </w:rPr>
        <w:t xml:space="preserve">, incluant </w:t>
      </w:r>
      <w:r w:rsidR="00FD06B1" w:rsidRPr="00536935">
        <w:rPr>
          <w:rFonts w:ascii="Arial" w:hAnsi="Arial" w:cs="Arial"/>
        </w:rPr>
        <w:t>sans y être limitée</w:t>
      </w:r>
      <w:r w:rsidR="00FD06B1" w:rsidRPr="00536935">
        <w:rPr>
          <w:rFonts w:ascii="Arial" w:hAnsi="Arial" w:cs="Arial"/>
        </w:rPr>
        <w:t xml:space="preserve"> </w:t>
      </w:r>
      <w:r w:rsidR="004B368D" w:rsidRPr="00536935">
        <w:rPr>
          <w:rFonts w:ascii="Arial" w:hAnsi="Arial" w:cs="Arial"/>
        </w:rPr>
        <w:t xml:space="preserve">i) les pertes </w:t>
      </w:r>
      <w:r w:rsidR="00A01A42" w:rsidRPr="00536935">
        <w:rPr>
          <w:rFonts w:ascii="Arial" w:hAnsi="Arial" w:cs="Arial"/>
        </w:rPr>
        <w:t xml:space="preserve">réelles subies par le titulaire des droits du fait de l’activité contrefaisante, telles que les </w:t>
      </w:r>
      <w:r w:rsidR="004B368D" w:rsidRPr="00536935">
        <w:rPr>
          <w:rFonts w:ascii="Arial" w:hAnsi="Arial" w:cs="Arial"/>
        </w:rPr>
        <w:t>ventes</w:t>
      </w:r>
      <w:r w:rsidR="00A01A42" w:rsidRPr="00536935">
        <w:rPr>
          <w:rFonts w:ascii="Arial" w:hAnsi="Arial" w:cs="Arial"/>
        </w:rPr>
        <w:t xml:space="preserve"> perdues, ou l’érosion des prix ;</w:t>
      </w:r>
      <w:r w:rsidR="004B368D" w:rsidRPr="00536935">
        <w:rPr>
          <w:rFonts w:ascii="Arial" w:hAnsi="Arial" w:cs="Arial"/>
        </w:rPr>
        <w:t xml:space="preserve"> ii) le « préjudice prouvé », tel que mentionné au paragraphe 6(a) de la Résolution de l’AIPPI sur </w:t>
      </w:r>
      <w:r w:rsidR="0017130E" w:rsidRPr="00536935">
        <w:rPr>
          <w:rFonts w:ascii="Arial" w:hAnsi="Arial" w:cs="Arial"/>
        </w:rPr>
        <w:t xml:space="preserve">la Q134 – « Exercice </w:t>
      </w:r>
      <w:r w:rsidR="004B368D" w:rsidRPr="00536935">
        <w:rPr>
          <w:rFonts w:ascii="Arial" w:hAnsi="Arial" w:cs="Arial"/>
        </w:rPr>
        <w:t>des droits de propriété intellectuelle – ADPIC » (Rio de Janeiro, 1998) ; et iii) les redevances raisonnables accordées</w:t>
      </w:r>
      <w:r w:rsidR="00BF11B0" w:rsidRPr="00536935">
        <w:rPr>
          <w:rFonts w:ascii="Arial" w:hAnsi="Arial" w:cs="Arial"/>
        </w:rPr>
        <w:t xml:space="preserve"> lorsqu’</w:t>
      </w:r>
      <w:r w:rsidR="0017130E" w:rsidRPr="00536935">
        <w:rPr>
          <w:rFonts w:ascii="Arial" w:hAnsi="Arial" w:cs="Arial"/>
        </w:rPr>
        <w:t>aucune perte réelle n’est établi</w:t>
      </w:r>
      <w:r w:rsidR="00BF11B0" w:rsidRPr="00536935">
        <w:rPr>
          <w:rFonts w:ascii="Arial" w:hAnsi="Arial" w:cs="Arial"/>
        </w:rPr>
        <w:t>e ;</w:t>
      </w:r>
    </w:p>
    <w:p w:rsidR="008E0459" w:rsidRPr="00536935" w:rsidRDefault="008E0459" w:rsidP="000C2843">
      <w:pPr>
        <w:pStyle w:val="NoSpacing"/>
        <w:jc w:val="both"/>
        <w:rPr>
          <w:rFonts w:ascii="Arial" w:hAnsi="Arial" w:cs="Arial"/>
        </w:rPr>
      </w:pPr>
    </w:p>
    <w:p w:rsidR="008E0459" w:rsidRPr="00536935" w:rsidRDefault="007D383F" w:rsidP="00D32818">
      <w:pPr>
        <w:pStyle w:val="ListParagraph"/>
        <w:numPr>
          <w:ilvl w:val="1"/>
          <w:numId w:val="3"/>
        </w:numPr>
        <w:spacing w:after="120" w:line="240" w:lineRule="auto"/>
        <w:ind w:hanging="731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BF11B0" w:rsidRPr="00536935">
        <w:rPr>
          <w:rFonts w:ascii="Arial" w:hAnsi="Arial" w:cs="Arial"/>
        </w:rPr>
        <w:t xml:space="preserve">’expression </w:t>
      </w:r>
      <w:r w:rsidR="00BF11B0" w:rsidRPr="00536935">
        <w:rPr>
          <w:rFonts w:ascii="Arial" w:hAnsi="Arial" w:cs="Arial"/>
          <w:b/>
          <w:i/>
        </w:rPr>
        <w:t>droit</w:t>
      </w:r>
      <w:r w:rsidR="0017130E" w:rsidRPr="00536935">
        <w:rPr>
          <w:rFonts w:ascii="Arial" w:hAnsi="Arial" w:cs="Arial"/>
          <w:b/>
          <w:i/>
        </w:rPr>
        <w:t>s</w:t>
      </w:r>
      <w:r w:rsidR="00DF6F6E" w:rsidRPr="00536935">
        <w:rPr>
          <w:rFonts w:ascii="Arial" w:hAnsi="Arial" w:cs="Arial"/>
          <w:b/>
          <w:i/>
        </w:rPr>
        <w:t xml:space="preserve"> de PI</w:t>
      </w:r>
      <w:r w:rsidR="0017130E" w:rsidRPr="00536935">
        <w:rPr>
          <w:rFonts w:ascii="Arial" w:hAnsi="Arial" w:cs="Arial"/>
          <w:b/>
          <w:i/>
        </w:rPr>
        <w:t xml:space="preserve"> en litige</w:t>
      </w:r>
      <w:r w:rsidR="00BC0ED4" w:rsidRPr="00536935">
        <w:rPr>
          <w:rFonts w:ascii="Arial" w:hAnsi="Arial" w:cs="Arial"/>
          <w:b/>
          <w:i/>
        </w:rPr>
        <w:t xml:space="preserve"> </w:t>
      </w:r>
      <w:r w:rsidR="00BF11B0" w:rsidRPr="00536935">
        <w:rPr>
          <w:rFonts w:ascii="Arial" w:hAnsi="Arial" w:cs="Arial"/>
        </w:rPr>
        <w:t>renv</w:t>
      </w:r>
      <w:r w:rsidR="008D4945" w:rsidRPr="00536935">
        <w:rPr>
          <w:rFonts w:ascii="Arial" w:hAnsi="Arial" w:cs="Arial"/>
        </w:rPr>
        <w:t xml:space="preserve">oie aux droits de PI </w:t>
      </w:r>
      <w:r w:rsidR="00FD06B1" w:rsidRPr="00536935">
        <w:rPr>
          <w:rFonts w:ascii="Arial" w:hAnsi="Arial" w:cs="Arial"/>
        </w:rPr>
        <w:t>jug</w:t>
      </w:r>
      <w:r w:rsidR="00FD06B1" w:rsidRPr="00536935">
        <w:rPr>
          <w:rFonts w:ascii="Arial" w:hAnsi="Arial" w:cs="Arial"/>
        </w:rPr>
        <w:t xml:space="preserve">és </w:t>
      </w:r>
      <w:r w:rsidR="0017130E" w:rsidRPr="00536935">
        <w:rPr>
          <w:rFonts w:ascii="Arial" w:hAnsi="Arial" w:cs="Arial"/>
        </w:rPr>
        <w:t xml:space="preserve">contrefaits </w:t>
      </w:r>
      <w:r w:rsidR="0097413D" w:rsidRPr="00536935">
        <w:rPr>
          <w:rFonts w:ascii="Arial" w:hAnsi="Arial" w:cs="Arial"/>
        </w:rPr>
        <w:t xml:space="preserve">pour lesquels </w:t>
      </w:r>
      <w:r w:rsidR="0017130E" w:rsidRPr="00536935">
        <w:rPr>
          <w:rFonts w:ascii="Arial" w:hAnsi="Arial" w:cs="Arial"/>
        </w:rPr>
        <w:t xml:space="preserve">les tribunaux </w:t>
      </w:r>
      <w:r w:rsidR="00871DC7" w:rsidRPr="00536935">
        <w:rPr>
          <w:rFonts w:ascii="Arial" w:hAnsi="Arial" w:cs="Arial"/>
        </w:rPr>
        <w:t>aur</w:t>
      </w:r>
      <w:r w:rsidR="0017130E" w:rsidRPr="00536935">
        <w:rPr>
          <w:rFonts w:ascii="Arial" w:hAnsi="Arial" w:cs="Arial"/>
        </w:rPr>
        <w:t>ont à quantifier les dommages</w:t>
      </w:r>
      <w:r w:rsidRPr="00536935">
        <w:rPr>
          <w:rFonts w:ascii="Arial" w:hAnsi="Arial" w:cs="Arial"/>
        </w:rPr>
        <w:t> ;</w:t>
      </w:r>
    </w:p>
    <w:p w:rsidR="008E0459" w:rsidRPr="00536935" w:rsidRDefault="007D383F" w:rsidP="00D32818">
      <w:pPr>
        <w:pStyle w:val="ListParagraph"/>
        <w:numPr>
          <w:ilvl w:val="1"/>
          <w:numId w:val="3"/>
        </w:numPr>
        <w:spacing w:after="120" w:line="240" w:lineRule="auto"/>
        <w:ind w:hanging="731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BF11B0" w:rsidRPr="00536935">
        <w:rPr>
          <w:rFonts w:ascii="Arial" w:hAnsi="Arial" w:cs="Arial"/>
        </w:rPr>
        <w:t xml:space="preserve">’expression </w:t>
      </w:r>
      <w:r w:rsidR="00BF11B0" w:rsidRPr="00536935">
        <w:rPr>
          <w:rFonts w:ascii="Arial" w:hAnsi="Arial" w:cs="Arial"/>
          <w:b/>
          <w:i/>
        </w:rPr>
        <w:t>l’érosion d</w:t>
      </w:r>
      <w:r w:rsidR="00FD06B1" w:rsidRPr="00536935">
        <w:rPr>
          <w:rFonts w:ascii="Arial" w:hAnsi="Arial" w:cs="Arial"/>
          <w:b/>
          <w:i/>
        </w:rPr>
        <w:t>es</w:t>
      </w:r>
      <w:r w:rsidR="00BF11B0" w:rsidRPr="00536935">
        <w:rPr>
          <w:rFonts w:ascii="Arial" w:hAnsi="Arial" w:cs="Arial"/>
          <w:b/>
          <w:i/>
        </w:rPr>
        <w:t xml:space="preserve"> prix </w:t>
      </w:r>
      <w:r w:rsidR="00BF11B0" w:rsidRPr="00536935">
        <w:rPr>
          <w:rFonts w:ascii="Arial" w:hAnsi="Arial" w:cs="Arial"/>
        </w:rPr>
        <w:t>renvoie</w:t>
      </w:r>
      <w:r w:rsidR="0017130E" w:rsidRPr="00536935">
        <w:rPr>
          <w:rFonts w:ascii="Arial" w:hAnsi="Arial" w:cs="Arial"/>
        </w:rPr>
        <w:t xml:space="preserve"> aux</w:t>
      </w:r>
      <w:r w:rsidR="00BF11B0" w:rsidRPr="00536935">
        <w:rPr>
          <w:rFonts w:ascii="Arial" w:hAnsi="Arial" w:cs="Arial"/>
        </w:rPr>
        <w:t xml:space="preserve"> ventes de produits </w:t>
      </w:r>
      <w:r w:rsidR="00DF6F6E" w:rsidRPr="00536935">
        <w:rPr>
          <w:rFonts w:ascii="Arial" w:hAnsi="Arial" w:cs="Arial"/>
        </w:rPr>
        <w:t>ou services metta</w:t>
      </w:r>
      <w:r w:rsidR="0017130E" w:rsidRPr="00536935">
        <w:rPr>
          <w:rFonts w:ascii="Arial" w:hAnsi="Arial" w:cs="Arial"/>
        </w:rPr>
        <w:t xml:space="preserve">nt en </w:t>
      </w:r>
      <w:r w:rsidR="000C2843" w:rsidRPr="00536935">
        <w:rPr>
          <w:rFonts w:ascii="Arial" w:hAnsi="Arial" w:cs="Arial"/>
        </w:rPr>
        <w:t>œuvre</w:t>
      </w:r>
      <w:r w:rsidR="0017130E" w:rsidRPr="00536935">
        <w:rPr>
          <w:rFonts w:ascii="Arial" w:hAnsi="Arial" w:cs="Arial"/>
        </w:rPr>
        <w:t xml:space="preserve"> </w:t>
      </w:r>
      <w:r w:rsidR="00DF6F6E" w:rsidRPr="00536935">
        <w:rPr>
          <w:rFonts w:ascii="Arial" w:hAnsi="Arial" w:cs="Arial"/>
        </w:rPr>
        <w:t>le droit de PI en litige, réalisées avec une marge</w:t>
      </w:r>
      <w:r w:rsidR="00697D63" w:rsidRPr="00536935">
        <w:rPr>
          <w:rFonts w:ascii="Arial" w:hAnsi="Arial" w:cs="Arial"/>
        </w:rPr>
        <w:t xml:space="preserve"> inférieure à celle qu’aurait réalisé</w:t>
      </w:r>
      <w:r w:rsidR="00DF6F6E" w:rsidRPr="00536935">
        <w:rPr>
          <w:rFonts w:ascii="Arial" w:hAnsi="Arial" w:cs="Arial"/>
        </w:rPr>
        <w:t>e</w:t>
      </w:r>
      <w:r w:rsidR="00697D63" w:rsidRPr="00536935">
        <w:rPr>
          <w:rFonts w:ascii="Arial" w:hAnsi="Arial" w:cs="Arial"/>
        </w:rPr>
        <w:t xml:space="preserve"> le titulaire de</w:t>
      </w:r>
      <w:r w:rsidR="00DF6F6E" w:rsidRPr="00536935">
        <w:rPr>
          <w:rFonts w:ascii="Arial" w:hAnsi="Arial" w:cs="Arial"/>
        </w:rPr>
        <w:t>s</w:t>
      </w:r>
      <w:r w:rsidR="00697D63" w:rsidRPr="00536935">
        <w:rPr>
          <w:rFonts w:ascii="Arial" w:hAnsi="Arial" w:cs="Arial"/>
        </w:rPr>
        <w:t xml:space="preserve"> droits en l’absence de </w:t>
      </w:r>
      <w:r w:rsidR="00DF6F6E" w:rsidRPr="00536935">
        <w:rPr>
          <w:rFonts w:ascii="Arial" w:hAnsi="Arial" w:cs="Arial"/>
        </w:rPr>
        <w:t xml:space="preserve">la </w:t>
      </w:r>
      <w:r w:rsidRPr="00536935">
        <w:rPr>
          <w:rFonts w:ascii="Arial" w:hAnsi="Arial" w:cs="Arial"/>
        </w:rPr>
        <w:t>contrefaçon ;</w:t>
      </w:r>
    </w:p>
    <w:p w:rsidR="00697D63" w:rsidRPr="00536935" w:rsidRDefault="007D383F" w:rsidP="00D32818">
      <w:pPr>
        <w:pStyle w:val="ListParagraph"/>
        <w:numPr>
          <w:ilvl w:val="1"/>
          <w:numId w:val="3"/>
        </w:numPr>
        <w:spacing w:after="120" w:line="240" w:lineRule="auto"/>
        <w:ind w:hanging="731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697D63" w:rsidRPr="00536935">
        <w:rPr>
          <w:rFonts w:ascii="Arial" w:hAnsi="Arial" w:cs="Arial"/>
        </w:rPr>
        <w:t xml:space="preserve">’expression </w:t>
      </w:r>
      <w:r w:rsidR="00697D63" w:rsidRPr="00536935">
        <w:rPr>
          <w:rFonts w:ascii="Arial" w:hAnsi="Arial" w:cs="Arial"/>
          <w:b/>
          <w:i/>
        </w:rPr>
        <w:t>ventes complémentaires</w:t>
      </w:r>
      <w:r w:rsidR="00697D63" w:rsidRPr="00536935">
        <w:rPr>
          <w:rFonts w:ascii="Arial" w:hAnsi="Arial" w:cs="Arial"/>
        </w:rPr>
        <w:t xml:space="preserve"> renvoie aux ventes de produits ou </w:t>
      </w:r>
      <w:r w:rsidR="00DF6F6E" w:rsidRPr="00536935">
        <w:rPr>
          <w:rFonts w:ascii="Arial" w:hAnsi="Arial" w:cs="Arial"/>
        </w:rPr>
        <w:t>services non couverts</w:t>
      </w:r>
      <w:r w:rsidR="000D260B" w:rsidRPr="00536935">
        <w:rPr>
          <w:rFonts w:ascii="Arial" w:hAnsi="Arial" w:cs="Arial"/>
        </w:rPr>
        <w:t xml:space="preserve"> par les </w:t>
      </w:r>
      <w:r w:rsidR="00DF6F6E" w:rsidRPr="00536935">
        <w:rPr>
          <w:rFonts w:ascii="Arial" w:hAnsi="Arial" w:cs="Arial"/>
        </w:rPr>
        <w:t xml:space="preserve">droits de PI en litige et vendus </w:t>
      </w:r>
      <w:r w:rsidR="00FD06B1" w:rsidRPr="00536935">
        <w:rPr>
          <w:rFonts w:ascii="Arial" w:hAnsi="Arial" w:cs="Arial"/>
        </w:rPr>
        <w:t xml:space="preserve">en fait </w:t>
      </w:r>
      <w:r w:rsidR="00DF6F6E" w:rsidRPr="00536935">
        <w:rPr>
          <w:rFonts w:ascii="Arial" w:hAnsi="Arial" w:cs="Arial"/>
        </w:rPr>
        <w:t>par le contrefacteur  avec les</w:t>
      </w:r>
      <w:r w:rsidR="00FD06B1" w:rsidRPr="00536935">
        <w:rPr>
          <w:rFonts w:ascii="Arial" w:hAnsi="Arial" w:cs="Arial"/>
        </w:rPr>
        <w:t> </w:t>
      </w:r>
      <w:r w:rsidR="00DF6F6E" w:rsidRPr="00536935">
        <w:rPr>
          <w:rFonts w:ascii="Arial" w:hAnsi="Arial" w:cs="Arial"/>
        </w:rPr>
        <w:t xml:space="preserve">produits ou services mettant en œuvre les </w:t>
      </w:r>
      <w:r w:rsidR="000D260B" w:rsidRPr="00536935">
        <w:rPr>
          <w:rFonts w:ascii="Arial" w:hAnsi="Arial" w:cs="Arial"/>
        </w:rPr>
        <w:t>droit</w:t>
      </w:r>
      <w:r w:rsidR="00DF6F6E" w:rsidRPr="00536935">
        <w:rPr>
          <w:rFonts w:ascii="Arial" w:hAnsi="Arial" w:cs="Arial"/>
        </w:rPr>
        <w:t>s</w:t>
      </w:r>
      <w:r w:rsidR="000D260B" w:rsidRPr="00536935">
        <w:rPr>
          <w:rFonts w:ascii="Arial" w:hAnsi="Arial" w:cs="Arial"/>
        </w:rPr>
        <w:t xml:space="preserve"> </w:t>
      </w:r>
      <w:r w:rsidR="00DF6F6E" w:rsidRPr="00536935">
        <w:rPr>
          <w:rFonts w:ascii="Arial" w:hAnsi="Arial" w:cs="Arial"/>
        </w:rPr>
        <w:t xml:space="preserve">de PI </w:t>
      </w:r>
      <w:r w:rsidR="000D260B" w:rsidRPr="00536935">
        <w:rPr>
          <w:rFonts w:ascii="Arial" w:hAnsi="Arial" w:cs="Arial"/>
        </w:rPr>
        <w:t>en litige</w:t>
      </w:r>
      <w:r w:rsidR="00DF6F6E" w:rsidRPr="00536935">
        <w:rPr>
          <w:rFonts w:ascii="Arial" w:hAnsi="Arial" w:cs="Arial"/>
        </w:rPr>
        <w:t>, peu important de savoir si</w:t>
      </w:r>
      <w:r w:rsidR="00DC0867" w:rsidRPr="00536935">
        <w:rPr>
          <w:rFonts w:ascii="Arial" w:hAnsi="Arial" w:cs="Arial"/>
        </w:rPr>
        <w:t xml:space="preserve"> ces produits sont vendus ensemble </w:t>
      </w:r>
      <w:r w:rsidR="00654700" w:rsidRPr="00536935">
        <w:rPr>
          <w:rFonts w:ascii="Arial" w:hAnsi="Arial" w:cs="Arial"/>
        </w:rPr>
        <w:t>par d’autres ou de manière habituelle.</w:t>
      </w:r>
    </w:p>
    <w:p w:rsidR="00DC0867" w:rsidRPr="00536935" w:rsidRDefault="008D4945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En liminaire </w:t>
      </w:r>
      <w:r w:rsidR="00DC0867" w:rsidRPr="00536935">
        <w:rPr>
          <w:rFonts w:ascii="Arial" w:hAnsi="Arial" w:cs="Arial"/>
        </w:rPr>
        <w:t>de cette Résol</w:t>
      </w:r>
      <w:r w:rsidRPr="00536935">
        <w:rPr>
          <w:rFonts w:ascii="Arial" w:hAnsi="Arial" w:cs="Arial"/>
        </w:rPr>
        <w:t>ution,</w:t>
      </w:r>
      <w:r w:rsidR="00DC0867" w:rsidRPr="00536935">
        <w:rPr>
          <w:rFonts w:ascii="Arial" w:hAnsi="Arial" w:cs="Arial"/>
        </w:rPr>
        <w:t xml:space="preserve"> la quantification des dommages </w:t>
      </w:r>
      <w:r w:rsidRPr="00536935">
        <w:rPr>
          <w:rFonts w:ascii="Arial" w:hAnsi="Arial" w:cs="Arial"/>
        </w:rPr>
        <w:t>devrait avoir pour point de départ</w:t>
      </w:r>
      <w:r w:rsidR="00DC0867" w:rsidRPr="00536935">
        <w:rPr>
          <w:rFonts w:ascii="Arial" w:hAnsi="Arial" w:cs="Arial"/>
        </w:rPr>
        <w:t xml:space="preserve"> </w:t>
      </w:r>
      <w:r w:rsidRPr="00536935">
        <w:rPr>
          <w:rFonts w:ascii="Arial" w:hAnsi="Arial" w:cs="Arial"/>
        </w:rPr>
        <w:t>le fait que les dommages indemnisent l</w:t>
      </w:r>
      <w:r w:rsidR="00DC0867" w:rsidRPr="00536935">
        <w:rPr>
          <w:rFonts w:ascii="Arial" w:hAnsi="Arial" w:cs="Arial"/>
        </w:rPr>
        <w:t>es pertes subies par le titulaire de</w:t>
      </w:r>
      <w:r w:rsidRPr="00536935">
        <w:rPr>
          <w:rFonts w:ascii="Arial" w:hAnsi="Arial" w:cs="Arial"/>
        </w:rPr>
        <w:t>s</w:t>
      </w:r>
      <w:r w:rsidR="00DC0867" w:rsidRPr="00536935">
        <w:rPr>
          <w:rFonts w:ascii="Arial" w:hAnsi="Arial" w:cs="Arial"/>
        </w:rPr>
        <w:t xml:space="preserve"> droit</w:t>
      </w:r>
      <w:r w:rsidRPr="00536935">
        <w:rPr>
          <w:rFonts w:ascii="Arial" w:hAnsi="Arial" w:cs="Arial"/>
        </w:rPr>
        <w:t>s</w:t>
      </w:r>
      <w:r w:rsidR="00FD06B1" w:rsidRPr="00536935">
        <w:rPr>
          <w:rFonts w:ascii="Arial" w:hAnsi="Arial" w:cs="Arial"/>
        </w:rPr>
        <w:t>.</w:t>
      </w:r>
    </w:p>
    <w:p w:rsidR="0061745D" w:rsidRPr="00536935" w:rsidRDefault="0061745D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Du fait de l’évidente sensibilité d</w:t>
      </w:r>
      <w:r w:rsidR="006A4095" w:rsidRPr="00536935">
        <w:rPr>
          <w:rFonts w:ascii="Arial" w:hAnsi="Arial" w:cs="Arial"/>
        </w:rPr>
        <w:t>es éléments recherchés</w:t>
      </w:r>
      <w:r w:rsidRPr="00536935">
        <w:rPr>
          <w:rFonts w:ascii="Arial" w:hAnsi="Arial" w:cs="Arial"/>
        </w:rPr>
        <w:t xml:space="preserve"> et </w:t>
      </w:r>
      <w:r w:rsidR="006A4095" w:rsidRPr="00536935">
        <w:rPr>
          <w:rFonts w:ascii="Arial" w:hAnsi="Arial" w:cs="Arial"/>
        </w:rPr>
        <w:t xml:space="preserve">de l’inévitable manque d’éléments cruciaux (par ex. les </w:t>
      </w:r>
      <w:r w:rsidRPr="00536935">
        <w:rPr>
          <w:rFonts w:ascii="Arial" w:hAnsi="Arial" w:cs="Arial"/>
        </w:rPr>
        <w:t>ventes</w:t>
      </w:r>
      <w:r w:rsidR="006A4095" w:rsidRPr="00536935">
        <w:rPr>
          <w:rFonts w:ascii="Arial" w:hAnsi="Arial" w:cs="Arial"/>
        </w:rPr>
        <w:t xml:space="preserve"> perdues du titulaire des droits qui n’ont pas</w:t>
      </w:r>
      <w:r w:rsidRPr="00536935">
        <w:rPr>
          <w:rFonts w:ascii="Arial" w:hAnsi="Arial" w:cs="Arial"/>
        </w:rPr>
        <w:t xml:space="preserve"> lieu), l’emploi de mécanismes d</w:t>
      </w:r>
      <w:r w:rsidR="006A4095" w:rsidRPr="00536935">
        <w:rPr>
          <w:rFonts w:ascii="Arial" w:hAnsi="Arial" w:cs="Arial"/>
        </w:rPr>
        <w:t xml:space="preserve">’estimation et d’approximation </w:t>
      </w:r>
      <w:r w:rsidRPr="00536935">
        <w:rPr>
          <w:rFonts w:ascii="Arial" w:hAnsi="Arial" w:cs="Arial"/>
        </w:rPr>
        <w:t>pourra être nécessaire. Plutôt que de priver un titulaire de droit</w:t>
      </w:r>
      <w:r w:rsidR="006A4095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de toute réparat</w:t>
      </w:r>
      <w:r w:rsidR="00C8135E" w:rsidRPr="00536935">
        <w:rPr>
          <w:rFonts w:ascii="Arial" w:hAnsi="Arial" w:cs="Arial"/>
        </w:rPr>
        <w:t>ion, les tri</w:t>
      </w:r>
      <w:r w:rsidR="006A4095" w:rsidRPr="00536935">
        <w:rPr>
          <w:rFonts w:ascii="Arial" w:hAnsi="Arial" w:cs="Arial"/>
        </w:rPr>
        <w:t>bunaux</w:t>
      </w:r>
      <w:r w:rsidR="00C8135E" w:rsidRPr="00536935">
        <w:rPr>
          <w:rFonts w:ascii="Arial" w:hAnsi="Arial" w:cs="Arial"/>
        </w:rPr>
        <w:t xml:space="preserve"> </w:t>
      </w:r>
      <w:r w:rsidR="005740B8" w:rsidRPr="00536935">
        <w:rPr>
          <w:rFonts w:ascii="Arial" w:hAnsi="Arial" w:cs="Arial"/>
        </w:rPr>
        <w:t>devrai</w:t>
      </w:r>
      <w:r w:rsidR="00C8135E" w:rsidRPr="00536935">
        <w:rPr>
          <w:rFonts w:ascii="Arial" w:hAnsi="Arial" w:cs="Arial"/>
        </w:rPr>
        <w:t xml:space="preserve">ent </w:t>
      </w:r>
      <w:r w:rsidR="005740B8" w:rsidRPr="00536935">
        <w:rPr>
          <w:rFonts w:ascii="Arial" w:hAnsi="Arial" w:cs="Arial"/>
        </w:rPr>
        <w:t xml:space="preserve">être en mesure de rendre un jugement fondé sur les preuves </w:t>
      </w:r>
      <w:r w:rsidR="00665111" w:rsidRPr="00536935">
        <w:rPr>
          <w:rFonts w:ascii="Arial" w:hAnsi="Arial" w:cs="Arial"/>
        </w:rPr>
        <w:t>accessibles</w:t>
      </w:r>
      <w:r w:rsidR="00C8135E" w:rsidRPr="00536935">
        <w:rPr>
          <w:rFonts w:ascii="Arial" w:hAnsi="Arial" w:cs="Arial"/>
        </w:rPr>
        <w:t xml:space="preserve">, sans </w:t>
      </w:r>
      <w:r w:rsidR="005740B8" w:rsidRPr="00536935">
        <w:rPr>
          <w:rFonts w:ascii="Arial" w:hAnsi="Arial" w:cs="Arial"/>
        </w:rPr>
        <w:t>aller a</w:t>
      </w:r>
      <w:r w:rsidR="00C8135E" w:rsidRPr="00536935">
        <w:rPr>
          <w:rFonts w:ascii="Arial" w:hAnsi="Arial" w:cs="Arial"/>
        </w:rPr>
        <w:t>u-delà de ces</w:t>
      </w:r>
      <w:r w:rsidR="005740B8" w:rsidRPr="00536935">
        <w:rPr>
          <w:rFonts w:ascii="Arial" w:hAnsi="Arial" w:cs="Arial"/>
        </w:rPr>
        <w:t xml:space="preserve"> preuve</w:t>
      </w:r>
      <w:r w:rsidR="00C8135E" w:rsidRPr="00536935">
        <w:rPr>
          <w:rFonts w:ascii="Arial" w:hAnsi="Arial" w:cs="Arial"/>
        </w:rPr>
        <w:t>s. Les tribunaux sont libres d’évaluer et de donner l’importance voulue aux preuves accessibles</w:t>
      </w:r>
      <w:r w:rsidR="005740B8" w:rsidRPr="00536935">
        <w:rPr>
          <w:rFonts w:ascii="Arial" w:hAnsi="Arial" w:cs="Arial"/>
        </w:rPr>
        <w:t>.</w:t>
      </w:r>
    </w:p>
    <w:p w:rsidR="005740B8" w:rsidRPr="00536935" w:rsidRDefault="00C8135E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En augmentant les</w:t>
      </w:r>
      <w:r w:rsidR="005740B8" w:rsidRPr="00536935">
        <w:rPr>
          <w:rFonts w:ascii="Arial" w:hAnsi="Arial" w:cs="Arial"/>
        </w:rPr>
        <w:t xml:space="preserve"> possibilité</w:t>
      </w:r>
      <w:r w:rsidR="00665111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d’obtention de preuves pour la quantification et</w:t>
      </w:r>
      <w:r w:rsidR="005740B8" w:rsidRPr="00536935">
        <w:rPr>
          <w:rFonts w:ascii="Arial" w:hAnsi="Arial" w:cs="Arial"/>
        </w:rPr>
        <w:t xml:space="preserve"> en fournissant des méthodes efficaces permettant de protéger la confidentialité des informations sensibles du titulaire de</w:t>
      </w:r>
      <w:r w:rsidRPr="00536935">
        <w:rPr>
          <w:rFonts w:ascii="Arial" w:hAnsi="Arial" w:cs="Arial"/>
        </w:rPr>
        <w:t>s</w:t>
      </w:r>
      <w:r w:rsidR="005740B8" w:rsidRPr="00536935">
        <w:rPr>
          <w:rFonts w:ascii="Arial" w:hAnsi="Arial" w:cs="Arial"/>
        </w:rPr>
        <w:t xml:space="preserve"> droit</w:t>
      </w:r>
      <w:r w:rsidRPr="00536935">
        <w:rPr>
          <w:rFonts w:ascii="Arial" w:hAnsi="Arial" w:cs="Arial"/>
        </w:rPr>
        <w:t>s</w:t>
      </w:r>
      <w:r w:rsidR="005740B8" w:rsidRPr="00536935">
        <w:rPr>
          <w:rFonts w:ascii="Arial" w:hAnsi="Arial" w:cs="Arial"/>
        </w:rPr>
        <w:t xml:space="preserve"> (ainsi que</w:t>
      </w:r>
      <w:r w:rsidR="003F37C3" w:rsidRPr="00536935">
        <w:rPr>
          <w:rFonts w:ascii="Arial" w:hAnsi="Arial" w:cs="Arial"/>
        </w:rPr>
        <w:t xml:space="preserve"> l</w:t>
      </w:r>
      <w:r w:rsidRPr="00536935">
        <w:rPr>
          <w:rFonts w:ascii="Arial" w:hAnsi="Arial" w:cs="Arial"/>
        </w:rPr>
        <w:t>es informations sensible</w:t>
      </w:r>
      <w:r w:rsidR="005740B8" w:rsidRPr="00536935">
        <w:rPr>
          <w:rFonts w:ascii="Arial" w:hAnsi="Arial" w:cs="Arial"/>
        </w:rPr>
        <w:t xml:space="preserve">s du contrefacteur), </w:t>
      </w:r>
      <w:r w:rsidRPr="00536935">
        <w:rPr>
          <w:rFonts w:ascii="Arial" w:hAnsi="Arial" w:cs="Arial"/>
        </w:rPr>
        <w:t>les tribunaux pourront disposer de preuves sur les pertes, de meilleure qualité.</w:t>
      </w:r>
    </w:p>
    <w:p w:rsidR="00F071DF" w:rsidRPr="00536935" w:rsidRDefault="00F071DF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40 Ra</w:t>
      </w:r>
      <w:r w:rsidR="00515C63" w:rsidRPr="00536935">
        <w:rPr>
          <w:rFonts w:ascii="Arial" w:hAnsi="Arial" w:cs="Arial"/>
        </w:rPr>
        <w:t xml:space="preserve">pports ont été reçus </w:t>
      </w:r>
      <w:r w:rsidR="00B044B5" w:rsidRPr="00536935">
        <w:rPr>
          <w:rFonts w:ascii="Arial" w:hAnsi="Arial" w:cs="Arial"/>
        </w:rPr>
        <w:t>des Groupes Nationaux et R</w:t>
      </w:r>
      <w:r w:rsidRPr="00536935">
        <w:rPr>
          <w:rFonts w:ascii="Arial" w:hAnsi="Arial" w:cs="Arial"/>
        </w:rPr>
        <w:t>égionaux de</w:t>
      </w:r>
      <w:r w:rsidR="00515C63" w:rsidRPr="00536935">
        <w:rPr>
          <w:rFonts w:ascii="Arial" w:hAnsi="Arial" w:cs="Arial"/>
        </w:rPr>
        <w:t xml:space="preserve"> l’AIPPI, fournissant des informations </w:t>
      </w:r>
      <w:r w:rsidR="00B044B5" w:rsidRPr="00536935">
        <w:rPr>
          <w:rFonts w:ascii="Arial" w:hAnsi="Arial" w:cs="Arial"/>
        </w:rPr>
        <w:t>et</w:t>
      </w:r>
      <w:r w:rsidR="00515C63" w:rsidRPr="00536935">
        <w:rPr>
          <w:rFonts w:ascii="Arial" w:hAnsi="Arial" w:cs="Arial"/>
        </w:rPr>
        <w:t xml:space="preserve"> </w:t>
      </w:r>
      <w:r w:rsidRPr="00536935">
        <w:rPr>
          <w:rFonts w:ascii="Arial" w:hAnsi="Arial" w:cs="Arial"/>
        </w:rPr>
        <w:t>analyse</w:t>
      </w:r>
      <w:r w:rsidR="00515C63" w:rsidRPr="00536935">
        <w:rPr>
          <w:rFonts w:ascii="Arial" w:hAnsi="Arial" w:cs="Arial"/>
        </w:rPr>
        <w:t xml:space="preserve">s </w:t>
      </w:r>
      <w:r w:rsidR="00B044B5" w:rsidRPr="00536935">
        <w:rPr>
          <w:rFonts w:ascii="Arial" w:hAnsi="Arial" w:cs="Arial"/>
        </w:rPr>
        <w:t xml:space="preserve">détaillées </w:t>
      </w:r>
      <w:r w:rsidR="00515C63" w:rsidRPr="00536935">
        <w:rPr>
          <w:rFonts w:ascii="Arial" w:hAnsi="Arial" w:cs="Arial"/>
        </w:rPr>
        <w:t>d</w:t>
      </w:r>
      <w:r w:rsidRPr="00536935">
        <w:rPr>
          <w:rFonts w:ascii="Arial" w:hAnsi="Arial" w:cs="Arial"/>
        </w:rPr>
        <w:t>es lois national</w:t>
      </w:r>
      <w:r w:rsidR="00515C63" w:rsidRPr="00536935">
        <w:rPr>
          <w:rFonts w:ascii="Arial" w:hAnsi="Arial" w:cs="Arial"/>
        </w:rPr>
        <w:t>es et régionales en lien avec cette R</w:t>
      </w:r>
      <w:r w:rsidRPr="00536935">
        <w:rPr>
          <w:rFonts w:ascii="Arial" w:hAnsi="Arial" w:cs="Arial"/>
        </w:rPr>
        <w:t>ésolu</w:t>
      </w:r>
      <w:r w:rsidR="002227CC" w:rsidRPr="00536935">
        <w:rPr>
          <w:rFonts w:ascii="Arial" w:hAnsi="Arial" w:cs="Arial"/>
        </w:rPr>
        <w:t>tion. Ces R</w:t>
      </w:r>
      <w:r w:rsidR="00515C63" w:rsidRPr="00536935">
        <w:rPr>
          <w:rFonts w:ascii="Arial" w:hAnsi="Arial" w:cs="Arial"/>
        </w:rPr>
        <w:t>apports ont été examinés</w:t>
      </w:r>
      <w:r w:rsidRPr="00536935">
        <w:rPr>
          <w:rFonts w:ascii="Arial" w:hAnsi="Arial" w:cs="Arial"/>
        </w:rPr>
        <w:t xml:space="preserve"> par l</w:t>
      </w:r>
      <w:r w:rsidR="00FD06B1" w:rsidRPr="00536935">
        <w:rPr>
          <w:rFonts w:ascii="Arial" w:hAnsi="Arial" w:cs="Arial"/>
        </w:rPr>
        <w:t>’Equipe du</w:t>
      </w:r>
      <w:r w:rsidRPr="00536935">
        <w:rPr>
          <w:rFonts w:ascii="Arial" w:hAnsi="Arial" w:cs="Arial"/>
        </w:rPr>
        <w:t xml:space="preserve"> </w:t>
      </w:r>
      <w:r w:rsidR="00515C63" w:rsidRPr="00536935">
        <w:rPr>
          <w:rFonts w:ascii="Arial" w:hAnsi="Arial" w:cs="Arial"/>
        </w:rPr>
        <w:t>Rapporteur Général de l’AIPPI et résumés dans un Rapport</w:t>
      </w:r>
      <w:r w:rsidRPr="00536935">
        <w:rPr>
          <w:rFonts w:ascii="Arial" w:hAnsi="Arial" w:cs="Arial"/>
        </w:rPr>
        <w:t xml:space="preserve"> </w:t>
      </w:r>
      <w:r w:rsidR="00515C63" w:rsidRPr="00536935">
        <w:rPr>
          <w:rFonts w:ascii="Arial" w:hAnsi="Arial" w:cs="Arial"/>
        </w:rPr>
        <w:t>de Synthèse (voir lien</w:t>
      </w:r>
      <w:r w:rsidRPr="00536935">
        <w:rPr>
          <w:rFonts w:ascii="Arial" w:hAnsi="Arial" w:cs="Arial"/>
        </w:rPr>
        <w:t xml:space="preserve"> ci-dessous)</w:t>
      </w:r>
      <w:r w:rsidR="00665111" w:rsidRPr="00536935">
        <w:rPr>
          <w:rFonts w:ascii="Arial" w:hAnsi="Arial" w:cs="Arial"/>
        </w:rPr>
        <w:t>.</w:t>
      </w:r>
    </w:p>
    <w:p w:rsidR="00F071DF" w:rsidRPr="00536935" w:rsidRDefault="003F37C3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Lors du C</w:t>
      </w:r>
      <w:r w:rsidR="00665111" w:rsidRPr="00536935">
        <w:rPr>
          <w:rFonts w:ascii="Arial" w:hAnsi="Arial" w:cs="Arial"/>
        </w:rPr>
        <w:t xml:space="preserve">ongrès </w:t>
      </w:r>
      <w:r w:rsidRPr="00536935">
        <w:rPr>
          <w:rFonts w:ascii="Arial" w:hAnsi="Arial" w:cs="Arial"/>
        </w:rPr>
        <w:t>de l’</w:t>
      </w:r>
      <w:r w:rsidR="00665111" w:rsidRPr="00536935">
        <w:rPr>
          <w:rFonts w:ascii="Arial" w:hAnsi="Arial" w:cs="Arial"/>
        </w:rPr>
        <w:t>AIPPI à</w:t>
      </w:r>
      <w:r w:rsidR="00F071DF" w:rsidRPr="00536935">
        <w:rPr>
          <w:rFonts w:ascii="Arial" w:hAnsi="Arial" w:cs="Arial"/>
        </w:rPr>
        <w:t xml:space="preserve"> Sydney en octobre 2017, </w:t>
      </w:r>
      <w:r w:rsidR="00505BA9" w:rsidRPr="00536935">
        <w:rPr>
          <w:rFonts w:ascii="Arial" w:hAnsi="Arial" w:cs="Arial"/>
        </w:rPr>
        <w:t>la question objet</w:t>
      </w:r>
      <w:r w:rsidRPr="00536935">
        <w:rPr>
          <w:rFonts w:ascii="Arial" w:hAnsi="Arial" w:cs="Arial"/>
        </w:rPr>
        <w:t xml:space="preserve"> de cette R</w:t>
      </w:r>
      <w:r w:rsidR="00BB3629" w:rsidRPr="00536935">
        <w:rPr>
          <w:rFonts w:ascii="Arial" w:hAnsi="Arial" w:cs="Arial"/>
        </w:rPr>
        <w:t xml:space="preserve">ésolution a été </w:t>
      </w:r>
      <w:r w:rsidR="00505BA9" w:rsidRPr="00536935">
        <w:rPr>
          <w:rFonts w:ascii="Arial" w:hAnsi="Arial" w:cs="Arial"/>
        </w:rPr>
        <w:t xml:space="preserve">d’abord </w:t>
      </w:r>
      <w:r w:rsidR="00BB3629" w:rsidRPr="00536935">
        <w:rPr>
          <w:rFonts w:ascii="Arial" w:hAnsi="Arial" w:cs="Arial"/>
        </w:rPr>
        <w:t>discuté</w:t>
      </w:r>
      <w:r w:rsidR="00505BA9" w:rsidRPr="00536935">
        <w:rPr>
          <w:rFonts w:ascii="Arial" w:hAnsi="Arial" w:cs="Arial"/>
        </w:rPr>
        <w:t>e</w:t>
      </w:r>
      <w:r w:rsidR="00BB3629" w:rsidRPr="00536935">
        <w:rPr>
          <w:rFonts w:ascii="Arial" w:hAnsi="Arial" w:cs="Arial"/>
        </w:rPr>
        <w:t xml:space="preserve"> </w:t>
      </w:r>
      <w:r w:rsidR="00C81F3E" w:rsidRPr="00536935">
        <w:rPr>
          <w:rFonts w:ascii="Arial" w:hAnsi="Arial" w:cs="Arial"/>
        </w:rPr>
        <w:t>par un Comité d’E</w:t>
      </w:r>
      <w:r w:rsidR="00505BA9" w:rsidRPr="00536935">
        <w:rPr>
          <w:rFonts w:ascii="Arial" w:hAnsi="Arial" w:cs="Arial"/>
        </w:rPr>
        <w:t>tude dédié, puis lors d’une Session Plénière, à la suite de laquelle la présente R</w:t>
      </w:r>
      <w:r w:rsidR="00BB3629" w:rsidRPr="00536935">
        <w:rPr>
          <w:rFonts w:ascii="Arial" w:hAnsi="Arial" w:cs="Arial"/>
        </w:rPr>
        <w:t>ésoluti</w:t>
      </w:r>
      <w:r w:rsidR="00505BA9" w:rsidRPr="00536935">
        <w:rPr>
          <w:rFonts w:ascii="Arial" w:hAnsi="Arial" w:cs="Arial"/>
        </w:rPr>
        <w:t>on a été adoptée par le Comité E</w:t>
      </w:r>
      <w:r w:rsidR="00BB3629" w:rsidRPr="00536935">
        <w:rPr>
          <w:rFonts w:ascii="Arial" w:hAnsi="Arial" w:cs="Arial"/>
        </w:rPr>
        <w:t>xécutif de l’AIPPI.</w:t>
      </w:r>
    </w:p>
    <w:p w:rsidR="00F86FA4" w:rsidRPr="00536935" w:rsidRDefault="00F86FA4" w:rsidP="00D32818">
      <w:pPr>
        <w:pStyle w:val="ListParagraph"/>
        <w:numPr>
          <w:ilvl w:val="0"/>
          <w:numId w:val="3"/>
        </w:numPr>
        <w:spacing w:after="12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L’étude ayant conduit à cette Résolution a mis l’accent sur les conséquences des ventes contrefaisantes. </w:t>
      </w:r>
      <w:r w:rsidRPr="00536935">
        <w:rPr>
          <w:rFonts w:ascii="Arial" w:hAnsi="Arial" w:cs="Arial"/>
          <w:lang w:val="fr-BE"/>
        </w:rPr>
        <w:t>La quantification de la réparation pécuniaire liée aux actes de contrefaçon autres que les vente</w:t>
      </w:r>
      <w:r w:rsidRPr="00536935">
        <w:rPr>
          <w:rFonts w:ascii="Arial" w:hAnsi="Arial" w:cs="Arial"/>
          <w:lang w:val="fr-BE"/>
        </w:rPr>
        <w:t>s</w:t>
      </w:r>
      <w:r w:rsidRPr="00536935">
        <w:rPr>
          <w:rFonts w:ascii="Arial" w:hAnsi="Arial" w:cs="Arial"/>
          <w:lang w:val="fr-BE"/>
        </w:rPr>
        <w:t xml:space="preserve"> devrait faire l’objet d’une étude ultérieure de l’AIPPI.</w:t>
      </w:r>
    </w:p>
    <w:p w:rsidR="00D32818" w:rsidRDefault="00D32818" w:rsidP="00D32818">
      <w:pPr>
        <w:keepNext/>
        <w:spacing w:after="0" w:line="240" w:lineRule="auto"/>
        <w:rPr>
          <w:rFonts w:ascii="Arial" w:hAnsi="Arial" w:cs="Arial"/>
        </w:rPr>
      </w:pPr>
    </w:p>
    <w:p w:rsidR="00BB3629" w:rsidRPr="00D32818" w:rsidRDefault="001A42B3" w:rsidP="005357D7">
      <w:pPr>
        <w:keepNext/>
        <w:rPr>
          <w:rFonts w:ascii="Arial" w:hAnsi="Arial" w:cs="Arial"/>
          <w:b/>
        </w:rPr>
      </w:pPr>
      <w:r w:rsidRPr="00D32818">
        <w:rPr>
          <w:rFonts w:ascii="Arial" w:hAnsi="Arial" w:cs="Arial"/>
          <w:b/>
        </w:rPr>
        <w:t>L’</w:t>
      </w:r>
      <w:r w:rsidR="00D768F0" w:rsidRPr="00D32818">
        <w:rPr>
          <w:rFonts w:ascii="Arial" w:hAnsi="Arial" w:cs="Arial"/>
          <w:b/>
        </w:rPr>
        <w:t>AIPPI adopte la résolution suivante :</w:t>
      </w:r>
    </w:p>
    <w:p w:rsidR="00BB3629" w:rsidRPr="00536935" w:rsidRDefault="00BB3629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Les dommages </w:t>
      </w:r>
      <w:r w:rsidR="00D768F0" w:rsidRPr="00536935">
        <w:rPr>
          <w:rFonts w:ascii="Arial" w:hAnsi="Arial" w:cs="Arial"/>
        </w:rPr>
        <w:t>devraient indemnisé</w:t>
      </w:r>
      <w:r w:rsidR="00665111" w:rsidRPr="00536935">
        <w:rPr>
          <w:rFonts w:ascii="Arial" w:hAnsi="Arial" w:cs="Arial"/>
        </w:rPr>
        <w:t>s</w:t>
      </w:r>
      <w:r w:rsidR="00F86FA4" w:rsidRPr="00536935">
        <w:rPr>
          <w:rFonts w:ascii="Arial" w:hAnsi="Arial" w:cs="Arial"/>
        </w:rPr>
        <w:t xml:space="preserve"> </w:t>
      </w:r>
      <w:r w:rsidR="00F86FA4" w:rsidRPr="00536935">
        <w:rPr>
          <w:rFonts w:ascii="Arial" w:hAnsi="Arial" w:cs="Arial"/>
        </w:rPr>
        <w:t>le titulaire de</w:t>
      </w:r>
      <w:r w:rsidR="00F86FA4" w:rsidRPr="00536935">
        <w:rPr>
          <w:rFonts w:ascii="Arial" w:hAnsi="Arial" w:cs="Arial"/>
        </w:rPr>
        <w:t>s</w:t>
      </w:r>
      <w:r w:rsidR="00F86FA4" w:rsidRPr="00536935">
        <w:rPr>
          <w:rFonts w:ascii="Arial" w:hAnsi="Arial" w:cs="Arial"/>
        </w:rPr>
        <w:t xml:space="preserve"> droits</w:t>
      </w:r>
      <w:r w:rsidR="001A42B3" w:rsidRPr="00536935">
        <w:rPr>
          <w:rFonts w:ascii="Arial" w:hAnsi="Arial" w:cs="Arial"/>
        </w:rPr>
        <w:t> :</w:t>
      </w:r>
    </w:p>
    <w:p w:rsidR="001A42B3" w:rsidRPr="00536935" w:rsidRDefault="00D768F0" w:rsidP="00EA568F">
      <w:pPr>
        <w:pStyle w:val="ListParagraph"/>
        <w:numPr>
          <w:ilvl w:val="1"/>
          <w:numId w:val="8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</w:t>
      </w:r>
      <w:r w:rsidR="001A42B3" w:rsidRPr="00536935">
        <w:rPr>
          <w:rFonts w:ascii="Arial" w:hAnsi="Arial" w:cs="Arial"/>
        </w:rPr>
        <w:t xml:space="preserve">our ses </w:t>
      </w:r>
      <w:r w:rsidRPr="00536935">
        <w:rPr>
          <w:rFonts w:ascii="Arial" w:hAnsi="Arial" w:cs="Arial"/>
        </w:rPr>
        <w:t>gains manqués sur</w:t>
      </w:r>
      <w:r w:rsidR="001A42B3" w:rsidRPr="00536935">
        <w:rPr>
          <w:rFonts w:ascii="Arial" w:hAnsi="Arial" w:cs="Arial"/>
        </w:rPr>
        <w:t xml:space="preserve"> les ventes des produits ou serv</w:t>
      </w:r>
      <w:r w:rsidRPr="00536935">
        <w:rPr>
          <w:rFonts w:ascii="Arial" w:hAnsi="Arial" w:cs="Arial"/>
        </w:rPr>
        <w:t xml:space="preserve">ices qu’il </w:t>
      </w:r>
      <w:r w:rsidR="001A42B3" w:rsidRPr="00536935">
        <w:rPr>
          <w:rFonts w:ascii="Arial" w:hAnsi="Arial" w:cs="Arial"/>
        </w:rPr>
        <w:t>aurait réalisé</w:t>
      </w:r>
      <w:r w:rsidRPr="00536935">
        <w:rPr>
          <w:rFonts w:ascii="Arial" w:hAnsi="Arial" w:cs="Arial"/>
        </w:rPr>
        <w:t>es</w:t>
      </w:r>
      <w:r w:rsidR="001A42B3" w:rsidRPr="00536935">
        <w:rPr>
          <w:rFonts w:ascii="Arial" w:hAnsi="Arial" w:cs="Arial"/>
        </w:rPr>
        <w:t xml:space="preserve"> en l’absence de </w:t>
      </w:r>
      <w:r w:rsidRPr="00536935">
        <w:rPr>
          <w:rFonts w:ascii="Arial" w:hAnsi="Arial" w:cs="Arial"/>
        </w:rPr>
        <w:t xml:space="preserve">la </w:t>
      </w:r>
      <w:r w:rsidR="001A42B3" w:rsidRPr="00536935">
        <w:rPr>
          <w:rFonts w:ascii="Arial" w:hAnsi="Arial" w:cs="Arial"/>
        </w:rPr>
        <w:t>contrefaçon</w:t>
      </w:r>
      <w:r w:rsidRPr="00536935">
        <w:rPr>
          <w:rFonts w:ascii="Arial" w:hAnsi="Arial" w:cs="Arial"/>
        </w:rPr>
        <w:t> ; et/ou</w:t>
      </w:r>
    </w:p>
    <w:p w:rsidR="001A42B3" w:rsidRPr="00536935" w:rsidRDefault="00D768F0" w:rsidP="00EA568F">
      <w:pPr>
        <w:pStyle w:val="ListParagraph"/>
        <w:numPr>
          <w:ilvl w:val="1"/>
          <w:numId w:val="8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</w:t>
      </w:r>
      <w:r w:rsidR="001A42B3" w:rsidRPr="00536935">
        <w:rPr>
          <w:rFonts w:ascii="Arial" w:hAnsi="Arial" w:cs="Arial"/>
        </w:rPr>
        <w:t xml:space="preserve">our ses </w:t>
      </w:r>
      <w:r w:rsidR="00665111" w:rsidRPr="00536935">
        <w:rPr>
          <w:rFonts w:ascii="Arial" w:hAnsi="Arial" w:cs="Arial"/>
        </w:rPr>
        <w:t>gains manqués</w:t>
      </w:r>
      <w:r w:rsidRPr="00536935">
        <w:rPr>
          <w:rFonts w:ascii="Arial" w:hAnsi="Arial" w:cs="Arial"/>
        </w:rPr>
        <w:t xml:space="preserve"> du fait de</w:t>
      </w:r>
      <w:r w:rsidR="001A42B3" w:rsidRPr="00536935">
        <w:rPr>
          <w:rFonts w:ascii="Arial" w:hAnsi="Arial" w:cs="Arial"/>
        </w:rPr>
        <w:t xml:space="preserve"> l’érosion des prix</w:t>
      </w:r>
      <w:r w:rsidRPr="00536935">
        <w:rPr>
          <w:rFonts w:ascii="Arial" w:hAnsi="Arial" w:cs="Arial"/>
        </w:rPr>
        <w:t> ; et/ou</w:t>
      </w:r>
    </w:p>
    <w:p w:rsidR="00B02C5B" w:rsidRPr="00536935" w:rsidRDefault="00D768F0" w:rsidP="00EA568F">
      <w:pPr>
        <w:pStyle w:val="ListParagraph"/>
        <w:numPr>
          <w:ilvl w:val="1"/>
          <w:numId w:val="8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par une redevance raisonnable</w:t>
      </w:r>
      <w:r w:rsidR="005C497E" w:rsidRPr="00536935">
        <w:rPr>
          <w:rFonts w:ascii="Arial" w:hAnsi="Arial" w:cs="Arial"/>
        </w:rPr>
        <w:t xml:space="preserve"> sur</w:t>
      </w:r>
      <w:r w:rsidR="001A42B3" w:rsidRPr="00536935">
        <w:rPr>
          <w:rFonts w:ascii="Arial" w:hAnsi="Arial" w:cs="Arial"/>
        </w:rPr>
        <w:t xml:space="preserve"> les</w:t>
      </w:r>
      <w:r w:rsidR="005C497E" w:rsidRPr="00536935">
        <w:rPr>
          <w:rFonts w:ascii="Arial" w:hAnsi="Arial" w:cs="Arial"/>
        </w:rPr>
        <w:t xml:space="preserve"> ventes contrefaisantes dont il n’est pas démontré que ce sont des ventes perd</w:t>
      </w:r>
      <w:r w:rsidR="00B02C5B" w:rsidRPr="00536935">
        <w:rPr>
          <w:rFonts w:ascii="Arial" w:hAnsi="Arial" w:cs="Arial"/>
        </w:rPr>
        <w:t>ues par le titulaire des droits,</w:t>
      </w:r>
    </w:p>
    <w:p w:rsidR="00B641CD" w:rsidRPr="00536935" w:rsidRDefault="005C497E" w:rsidP="00EA568F">
      <w:pPr>
        <w:spacing w:after="240" w:line="240" w:lineRule="auto"/>
        <w:ind w:left="72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pour autant </w:t>
      </w:r>
      <w:r w:rsidR="001A42B3" w:rsidRPr="00536935">
        <w:rPr>
          <w:rFonts w:ascii="Arial" w:hAnsi="Arial" w:cs="Arial"/>
        </w:rPr>
        <w:t>que le titulaire de</w:t>
      </w:r>
      <w:r w:rsidRPr="00536935">
        <w:rPr>
          <w:rFonts w:ascii="Arial" w:hAnsi="Arial" w:cs="Arial"/>
        </w:rPr>
        <w:t>s</w:t>
      </w:r>
      <w:r w:rsidR="001A42B3" w:rsidRPr="00536935">
        <w:rPr>
          <w:rFonts w:ascii="Arial" w:hAnsi="Arial" w:cs="Arial"/>
        </w:rPr>
        <w:t xml:space="preserve"> droit</w:t>
      </w:r>
      <w:r w:rsidRPr="00536935">
        <w:rPr>
          <w:rFonts w:ascii="Arial" w:hAnsi="Arial" w:cs="Arial"/>
        </w:rPr>
        <w:t>s ne soit pas</w:t>
      </w:r>
      <w:r w:rsidR="001A42B3" w:rsidRPr="00536935">
        <w:rPr>
          <w:rFonts w:ascii="Arial" w:hAnsi="Arial" w:cs="Arial"/>
        </w:rPr>
        <w:t xml:space="preserve"> in</w:t>
      </w:r>
      <w:r w:rsidR="00B641CD" w:rsidRPr="00536935">
        <w:rPr>
          <w:rFonts w:ascii="Arial" w:hAnsi="Arial" w:cs="Arial"/>
        </w:rPr>
        <w:t>demnisé deux fois pour la même perte.</w:t>
      </w:r>
    </w:p>
    <w:p w:rsidR="009E6B02" w:rsidRPr="00536935" w:rsidRDefault="00EB2459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Pour évaluer l</w:t>
      </w:r>
      <w:r w:rsidR="005C497E" w:rsidRPr="00536935">
        <w:rPr>
          <w:rFonts w:ascii="Arial" w:hAnsi="Arial" w:cs="Arial"/>
        </w:rPr>
        <w:t xml:space="preserve">es gains </w:t>
      </w:r>
      <w:r w:rsidR="009E6B02" w:rsidRPr="00536935">
        <w:rPr>
          <w:rFonts w:ascii="Arial" w:hAnsi="Arial" w:cs="Arial"/>
        </w:rPr>
        <w:t>manqués, les tribunaux devraie</w:t>
      </w:r>
      <w:r w:rsidR="005C497E" w:rsidRPr="00536935">
        <w:rPr>
          <w:rFonts w:ascii="Arial" w:hAnsi="Arial" w:cs="Arial"/>
        </w:rPr>
        <w:t>nt</w:t>
      </w:r>
      <w:r w:rsidR="009E6B02" w:rsidRPr="00536935">
        <w:rPr>
          <w:rFonts w:ascii="Arial" w:hAnsi="Arial" w:cs="Arial"/>
        </w:rPr>
        <w:t xml:space="preserve"> admettre qu’il s’agit, par définition, d</w:t>
      </w:r>
      <w:r w:rsidR="00103F21" w:rsidRPr="00536935">
        <w:rPr>
          <w:rFonts w:ascii="Arial" w:hAnsi="Arial" w:cs="Arial"/>
        </w:rPr>
        <w:t>’une estimation et être en mesure de</w:t>
      </w:r>
      <w:r w:rsidR="00A4113E" w:rsidRPr="00536935">
        <w:rPr>
          <w:rFonts w:ascii="Arial" w:hAnsi="Arial" w:cs="Arial"/>
        </w:rPr>
        <w:t xml:space="preserve"> rendre un jugement f</w:t>
      </w:r>
      <w:r w:rsidR="009E6B02" w:rsidRPr="00536935">
        <w:rPr>
          <w:rFonts w:ascii="Arial" w:hAnsi="Arial" w:cs="Arial"/>
        </w:rPr>
        <w:t xml:space="preserve">ondé sur les preuves telles qu’accessibles, tout en s’assurant </w:t>
      </w:r>
      <w:r w:rsidR="00A4113E" w:rsidRPr="00536935">
        <w:rPr>
          <w:rFonts w:ascii="Arial" w:hAnsi="Arial" w:cs="Arial"/>
        </w:rPr>
        <w:t>que le titulaire de</w:t>
      </w:r>
      <w:r w:rsidR="009E6B02" w:rsidRPr="00536935">
        <w:rPr>
          <w:rFonts w:ascii="Arial" w:hAnsi="Arial" w:cs="Arial"/>
        </w:rPr>
        <w:t>s</w:t>
      </w:r>
      <w:r w:rsidR="00A4113E" w:rsidRPr="00536935">
        <w:rPr>
          <w:rFonts w:ascii="Arial" w:hAnsi="Arial" w:cs="Arial"/>
        </w:rPr>
        <w:t xml:space="preserve"> droits est pleinement indemnisé </w:t>
      </w:r>
      <w:r w:rsidR="009E6B02" w:rsidRPr="00536935">
        <w:rPr>
          <w:rFonts w:ascii="Arial" w:hAnsi="Arial" w:cs="Arial"/>
        </w:rPr>
        <w:t>de ses pertes.</w:t>
      </w:r>
    </w:p>
    <w:p w:rsidR="001351AF" w:rsidRPr="00536935" w:rsidRDefault="001351AF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665111" w:rsidRPr="00536935">
        <w:rPr>
          <w:rFonts w:ascii="Arial" w:hAnsi="Arial" w:cs="Arial"/>
        </w:rPr>
        <w:t>e</w:t>
      </w:r>
      <w:r w:rsidR="009E6B02" w:rsidRPr="00536935">
        <w:rPr>
          <w:rFonts w:ascii="Arial" w:hAnsi="Arial" w:cs="Arial"/>
        </w:rPr>
        <w:t>s</w:t>
      </w:r>
      <w:r w:rsidR="00665111" w:rsidRPr="00536935">
        <w:rPr>
          <w:rFonts w:ascii="Arial" w:hAnsi="Arial" w:cs="Arial"/>
        </w:rPr>
        <w:t xml:space="preserve"> gain</w:t>
      </w:r>
      <w:r w:rsidR="009E6B02" w:rsidRPr="00536935">
        <w:rPr>
          <w:rFonts w:ascii="Arial" w:hAnsi="Arial" w:cs="Arial"/>
        </w:rPr>
        <w:t>s</w:t>
      </w:r>
      <w:r w:rsidR="00665111" w:rsidRPr="00536935">
        <w:rPr>
          <w:rFonts w:ascii="Arial" w:hAnsi="Arial" w:cs="Arial"/>
        </w:rPr>
        <w:t xml:space="preserve"> manqué</w:t>
      </w:r>
      <w:r w:rsidR="009E6B02" w:rsidRPr="00536935">
        <w:rPr>
          <w:rFonts w:ascii="Arial" w:hAnsi="Arial" w:cs="Arial"/>
        </w:rPr>
        <w:t>s</w:t>
      </w:r>
      <w:r w:rsidR="00665111" w:rsidRPr="00536935">
        <w:rPr>
          <w:rFonts w:ascii="Arial" w:hAnsi="Arial" w:cs="Arial"/>
        </w:rPr>
        <w:t xml:space="preserve"> devrai</w:t>
      </w:r>
      <w:r w:rsidR="009E6B02" w:rsidRPr="00536935">
        <w:rPr>
          <w:rFonts w:ascii="Arial" w:hAnsi="Arial" w:cs="Arial"/>
        </w:rPr>
        <w:t>en</w:t>
      </w:r>
      <w:r w:rsidR="00665111" w:rsidRPr="00536935">
        <w:rPr>
          <w:rFonts w:ascii="Arial" w:hAnsi="Arial" w:cs="Arial"/>
        </w:rPr>
        <w:t>t être évalué</w:t>
      </w:r>
      <w:r w:rsidR="009E6B02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en prenant en compte les </w:t>
      </w:r>
      <w:r w:rsidR="0097413D" w:rsidRPr="00536935">
        <w:rPr>
          <w:rFonts w:ascii="Arial" w:hAnsi="Arial" w:cs="Arial"/>
        </w:rPr>
        <w:t>circonstances</w:t>
      </w:r>
      <w:r w:rsidR="009E6B02" w:rsidRPr="00536935">
        <w:rPr>
          <w:rFonts w:ascii="Arial" w:hAnsi="Arial" w:cs="Arial"/>
        </w:rPr>
        <w:t xml:space="preserve"> </w:t>
      </w:r>
      <w:r w:rsidR="00053CF9" w:rsidRPr="00536935">
        <w:rPr>
          <w:rFonts w:ascii="Arial" w:hAnsi="Arial" w:cs="Arial"/>
        </w:rPr>
        <w:t xml:space="preserve">pertinentes </w:t>
      </w:r>
      <w:r w:rsidRPr="00536935">
        <w:rPr>
          <w:rFonts w:ascii="Arial" w:hAnsi="Arial" w:cs="Arial"/>
        </w:rPr>
        <w:t>incluant</w:t>
      </w:r>
      <w:r w:rsidR="009E6B02" w:rsidRPr="00536935">
        <w:rPr>
          <w:rFonts w:ascii="Arial" w:hAnsi="Arial" w:cs="Arial"/>
        </w:rPr>
        <w:t>,</w:t>
      </w:r>
      <w:r w:rsidRPr="00536935">
        <w:rPr>
          <w:rFonts w:ascii="Arial" w:hAnsi="Arial" w:cs="Arial"/>
        </w:rPr>
        <w:t xml:space="preserve"> notamment : </w:t>
      </w:r>
    </w:p>
    <w:p w:rsidR="001351AF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les ressemblances </w:t>
      </w:r>
      <w:r w:rsidR="001351AF" w:rsidRPr="00536935">
        <w:rPr>
          <w:rFonts w:ascii="Arial" w:hAnsi="Arial" w:cs="Arial"/>
        </w:rPr>
        <w:t xml:space="preserve">et </w:t>
      </w:r>
      <w:r w:rsidRPr="00536935">
        <w:rPr>
          <w:rFonts w:ascii="Arial" w:hAnsi="Arial" w:cs="Arial"/>
        </w:rPr>
        <w:t xml:space="preserve">les </w:t>
      </w:r>
      <w:r w:rsidR="001351AF" w:rsidRPr="00536935">
        <w:rPr>
          <w:rFonts w:ascii="Arial" w:hAnsi="Arial" w:cs="Arial"/>
        </w:rPr>
        <w:t xml:space="preserve">différences entre les produits ou services </w:t>
      </w:r>
      <w:r w:rsidRPr="00536935">
        <w:rPr>
          <w:rFonts w:ascii="Arial" w:hAnsi="Arial" w:cs="Arial"/>
        </w:rPr>
        <w:t>concurrents des parties</w:t>
      </w:r>
      <w:r w:rsidR="00F86FA4" w:rsidRPr="00536935">
        <w:rPr>
          <w:rFonts w:ascii="Arial" w:hAnsi="Arial" w:cs="Arial"/>
        </w:rPr>
        <w:t xml:space="preserve"> (par exemple, le design, la qualité, le prix, les circuits commerciaux)</w:t>
      </w:r>
      <w:r w:rsidRPr="00536935">
        <w:rPr>
          <w:rFonts w:ascii="Arial" w:hAnsi="Arial" w:cs="Arial"/>
        </w:rPr>
        <w:t> ;</w:t>
      </w:r>
    </w:p>
    <w:p w:rsidR="001351AF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a disponibilité</w:t>
      </w:r>
      <w:r w:rsidR="001351AF" w:rsidRPr="00536935">
        <w:rPr>
          <w:rFonts w:ascii="Arial" w:hAnsi="Arial" w:cs="Arial"/>
        </w:rPr>
        <w:t xml:space="preserve"> d’</w:t>
      </w:r>
      <w:r w:rsidR="0002268A" w:rsidRPr="00536935">
        <w:rPr>
          <w:rFonts w:ascii="Arial" w:hAnsi="Arial" w:cs="Arial"/>
        </w:rPr>
        <w:t>autres p</w:t>
      </w:r>
      <w:r w:rsidRPr="00536935">
        <w:rPr>
          <w:rFonts w:ascii="Arial" w:hAnsi="Arial" w:cs="Arial"/>
        </w:rPr>
        <w:t>roduits ou services de remplacement</w:t>
      </w:r>
      <w:r w:rsidR="0002268A" w:rsidRPr="00536935">
        <w:rPr>
          <w:rFonts w:ascii="Arial" w:hAnsi="Arial" w:cs="Arial"/>
        </w:rPr>
        <w:t xml:space="preserve"> sur le marché</w:t>
      </w:r>
      <w:r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a capacité du titulaire de</w:t>
      </w:r>
      <w:r w:rsidRPr="00536935">
        <w:rPr>
          <w:rFonts w:ascii="Arial" w:hAnsi="Arial" w:cs="Arial"/>
        </w:rPr>
        <w:t>s</w:t>
      </w:r>
      <w:r w:rsidR="0002268A" w:rsidRPr="00536935">
        <w:rPr>
          <w:rFonts w:ascii="Arial" w:hAnsi="Arial" w:cs="Arial"/>
        </w:rPr>
        <w:t xml:space="preserve"> droit</w:t>
      </w:r>
      <w:r w:rsidRPr="00536935">
        <w:rPr>
          <w:rFonts w:ascii="Arial" w:hAnsi="Arial" w:cs="Arial"/>
        </w:rPr>
        <w:t>s</w:t>
      </w:r>
      <w:r w:rsidR="0002268A" w:rsidRPr="00536935">
        <w:rPr>
          <w:rFonts w:ascii="Arial" w:hAnsi="Arial" w:cs="Arial"/>
        </w:rPr>
        <w:t xml:space="preserve"> à répondre à la demande</w:t>
      </w:r>
      <w:r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es vente</w:t>
      </w:r>
      <w:r w:rsidR="00A4113E" w:rsidRPr="00536935">
        <w:rPr>
          <w:rFonts w:ascii="Arial" w:hAnsi="Arial" w:cs="Arial"/>
        </w:rPr>
        <w:t>s, services et garanties offert</w:t>
      </w:r>
      <w:r w:rsidR="0002268A" w:rsidRPr="00536935">
        <w:rPr>
          <w:rFonts w:ascii="Arial" w:hAnsi="Arial" w:cs="Arial"/>
        </w:rPr>
        <w:t>s par les parties</w:t>
      </w:r>
      <w:r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B641CD" w:rsidRPr="00536935">
        <w:rPr>
          <w:rFonts w:ascii="Arial" w:hAnsi="Arial" w:cs="Arial"/>
        </w:rPr>
        <w:t>a présence</w:t>
      </w:r>
      <w:r w:rsidR="0002268A" w:rsidRPr="00536935">
        <w:rPr>
          <w:rFonts w:ascii="Arial" w:hAnsi="Arial" w:cs="Arial"/>
        </w:rPr>
        <w:t xml:space="preserve"> géographique</w:t>
      </w:r>
      <w:r w:rsidR="008B4ED6"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a réputation des parties sur le marché</w:t>
      </w:r>
      <w:r w:rsidR="008B4ED6"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es dépenses publicitaires</w:t>
      </w:r>
      <w:r w:rsidR="008B4ED6"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02268A" w:rsidRPr="00536935">
        <w:rPr>
          <w:rFonts w:ascii="Arial" w:hAnsi="Arial" w:cs="Arial"/>
        </w:rPr>
        <w:t>e prix des produits ou services</w:t>
      </w:r>
      <w:r w:rsidR="008B4ED6" w:rsidRPr="00536935">
        <w:rPr>
          <w:rFonts w:ascii="Arial" w:hAnsi="Arial" w:cs="Arial"/>
        </w:rPr>
        <w:t> ;</w:t>
      </w:r>
    </w:p>
    <w:p w:rsidR="0002268A" w:rsidRPr="00536935" w:rsidRDefault="009E6B02" w:rsidP="00EA568F">
      <w:pPr>
        <w:pStyle w:val="ListParagraph"/>
        <w:numPr>
          <w:ilvl w:val="0"/>
          <w:numId w:val="9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8B4ED6" w:rsidRPr="00536935">
        <w:rPr>
          <w:rFonts w:ascii="Arial" w:hAnsi="Arial" w:cs="Arial"/>
        </w:rPr>
        <w:t>’évolution</w:t>
      </w:r>
      <w:r w:rsidR="0002268A" w:rsidRPr="00536935">
        <w:rPr>
          <w:rFonts w:ascii="Arial" w:hAnsi="Arial" w:cs="Arial"/>
        </w:rPr>
        <w:t xml:space="preserve"> </w:t>
      </w:r>
      <w:r w:rsidR="008B4ED6" w:rsidRPr="00536935">
        <w:rPr>
          <w:rFonts w:ascii="Arial" w:hAnsi="Arial" w:cs="Arial"/>
        </w:rPr>
        <w:t xml:space="preserve">du chiffre d’affaires du </w:t>
      </w:r>
      <w:r w:rsidR="0002268A" w:rsidRPr="00536935">
        <w:rPr>
          <w:rFonts w:ascii="Arial" w:hAnsi="Arial" w:cs="Arial"/>
        </w:rPr>
        <w:t>titulaire de</w:t>
      </w:r>
      <w:r w:rsidR="008B4ED6" w:rsidRPr="00536935">
        <w:rPr>
          <w:rFonts w:ascii="Arial" w:hAnsi="Arial" w:cs="Arial"/>
        </w:rPr>
        <w:t>s</w:t>
      </w:r>
      <w:r w:rsidR="0002268A" w:rsidRPr="00536935">
        <w:rPr>
          <w:rFonts w:ascii="Arial" w:hAnsi="Arial" w:cs="Arial"/>
        </w:rPr>
        <w:t xml:space="preserve"> droit</w:t>
      </w:r>
      <w:r w:rsidR="008B4ED6" w:rsidRPr="00536935">
        <w:rPr>
          <w:rFonts w:ascii="Arial" w:hAnsi="Arial" w:cs="Arial"/>
        </w:rPr>
        <w:t>s depuis le</w:t>
      </w:r>
      <w:r w:rsidR="0002268A" w:rsidRPr="00536935">
        <w:rPr>
          <w:rFonts w:ascii="Arial" w:hAnsi="Arial" w:cs="Arial"/>
        </w:rPr>
        <w:t xml:space="preserve"> début des ventes contrefaisantes</w:t>
      </w:r>
      <w:r w:rsidR="008B4ED6" w:rsidRPr="00536935">
        <w:rPr>
          <w:rFonts w:ascii="Arial" w:hAnsi="Arial" w:cs="Arial"/>
        </w:rPr>
        <w:t>.</w:t>
      </w:r>
    </w:p>
    <w:p w:rsidR="0002268A" w:rsidRPr="00536935" w:rsidRDefault="0002268A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Dans le but d’évaluer l</w:t>
      </w:r>
      <w:r w:rsidR="00AE41EC" w:rsidRPr="00536935">
        <w:rPr>
          <w:rFonts w:ascii="Arial" w:hAnsi="Arial" w:cs="Arial"/>
        </w:rPr>
        <w:t>e</w:t>
      </w:r>
      <w:r w:rsidR="001E6CE7" w:rsidRPr="00536935">
        <w:rPr>
          <w:rFonts w:ascii="Arial" w:hAnsi="Arial" w:cs="Arial"/>
        </w:rPr>
        <w:t>s</w:t>
      </w:r>
      <w:r w:rsidR="00AE41EC" w:rsidRPr="00536935">
        <w:rPr>
          <w:rFonts w:ascii="Arial" w:hAnsi="Arial" w:cs="Arial"/>
        </w:rPr>
        <w:t xml:space="preserve"> gain</w:t>
      </w:r>
      <w:r w:rsidR="001E6CE7" w:rsidRPr="00536935">
        <w:rPr>
          <w:rFonts w:ascii="Arial" w:hAnsi="Arial" w:cs="Arial"/>
        </w:rPr>
        <w:t>s</w:t>
      </w:r>
      <w:r w:rsidR="00AE41EC" w:rsidRPr="00536935">
        <w:rPr>
          <w:rFonts w:ascii="Arial" w:hAnsi="Arial" w:cs="Arial"/>
        </w:rPr>
        <w:t xml:space="preserve"> manqué</w:t>
      </w:r>
      <w:r w:rsidR="001E6CE7" w:rsidRPr="00536935">
        <w:rPr>
          <w:rFonts w:ascii="Arial" w:hAnsi="Arial" w:cs="Arial"/>
        </w:rPr>
        <w:t xml:space="preserve">s, les </w:t>
      </w:r>
      <w:r w:rsidR="00903381" w:rsidRPr="00536935">
        <w:rPr>
          <w:rFonts w:ascii="Arial" w:hAnsi="Arial" w:cs="Arial"/>
        </w:rPr>
        <w:t>preuve</w:t>
      </w:r>
      <w:r w:rsidR="001E6CE7" w:rsidRPr="00536935">
        <w:rPr>
          <w:rFonts w:ascii="Arial" w:hAnsi="Arial" w:cs="Arial"/>
        </w:rPr>
        <w:t>s qui sont à la disposition, à la garde</w:t>
      </w:r>
      <w:r w:rsidR="00903381" w:rsidRPr="00536935">
        <w:rPr>
          <w:rFonts w:ascii="Arial" w:hAnsi="Arial" w:cs="Arial"/>
        </w:rPr>
        <w:t xml:space="preserve"> ou</w:t>
      </w:r>
      <w:r w:rsidR="001E6CE7" w:rsidRPr="00536935">
        <w:rPr>
          <w:rFonts w:ascii="Arial" w:hAnsi="Arial" w:cs="Arial"/>
        </w:rPr>
        <w:t xml:space="preserve"> sous le</w:t>
      </w:r>
      <w:r w:rsidR="00903381" w:rsidRPr="00536935">
        <w:rPr>
          <w:rFonts w:ascii="Arial" w:hAnsi="Arial" w:cs="Arial"/>
        </w:rPr>
        <w:t xml:space="preserve"> contrôle du c</w:t>
      </w:r>
      <w:r w:rsidR="001E6CE7" w:rsidRPr="00536935">
        <w:rPr>
          <w:rFonts w:ascii="Arial" w:hAnsi="Arial" w:cs="Arial"/>
        </w:rPr>
        <w:t xml:space="preserve">ontrefacteur, relatives aux </w:t>
      </w:r>
      <w:r w:rsidR="0097413D" w:rsidRPr="00536935">
        <w:rPr>
          <w:rFonts w:ascii="Arial" w:hAnsi="Arial" w:cs="Arial"/>
        </w:rPr>
        <w:t xml:space="preserve">circonstances </w:t>
      </w:r>
      <w:r w:rsidR="001E6CE7" w:rsidRPr="00536935">
        <w:rPr>
          <w:rFonts w:ascii="Arial" w:hAnsi="Arial" w:cs="Arial"/>
        </w:rPr>
        <w:t xml:space="preserve">mentionnées </w:t>
      </w:r>
      <w:r w:rsidR="00903381" w:rsidRPr="00536935">
        <w:rPr>
          <w:rFonts w:ascii="Arial" w:hAnsi="Arial" w:cs="Arial"/>
        </w:rPr>
        <w:t>ci-dessus</w:t>
      </w:r>
      <w:r w:rsidR="001E6CE7" w:rsidRPr="00536935">
        <w:rPr>
          <w:rFonts w:ascii="Arial" w:hAnsi="Arial" w:cs="Arial"/>
        </w:rPr>
        <w:t>, devraient être rendues accessibles a</w:t>
      </w:r>
      <w:r w:rsidR="00903381" w:rsidRPr="00536935">
        <w:rPr>
          <w:rFonts w:ascii="Arial" w:hAnsi="Arial" w:cs="Arial"/>
        </w:rPr>
        <w:t>u titulaire de</w:t>
      </w:r>
      <w:r w:rsidR="001E6CE7" w:rsidRPr="00536935">
        <w:rPr>
          <w:rFonts w:ascii="Arial" w:hAnsi="Arial" w:cs="Arial"/>
        </w:rPr>
        <w:t>s</w:t>
      </w:r>
      <w:r w:rsidR="00903381" w:rsidRPr="00536935">
        <w:rPr>
          <w:rFonts w:ascii="Arial" w:hAnsi="Arial" w:cs="Arial"/>
        </w:rPr>
        <w:t xml:space="preserve"> droit</w:t>
      </w:r>
      <w:r w:rsidR="001E6CE7" w:rsidRPr="00536935">
        <w:rPr>
          <w:rFonts w:ascii="Arial" w:hAnsi="Arial" w:cs="Arial"/>
        </w:rPr>
        <w:t>s et aux tribunaux</w:t>
      </w:r>
      <w:r w:rsidR="00903381" w:rsidRPr="00536935">
        <w:rPr>
          <w:rFonts w:ascii="Arial" w:hAnsi="Arial" w:cs="Arial"/>
        </w:rPr>
        <w:t>.</w:t>
      </w:r>
    </w:p>
    <w:p w:rsidR="00903381" w:rsidRPr="00536935" w:rsidRDefault="00903381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Dans le but de quantifier les dommages, les </w:t>
      </w:r>
      <w:r w:rsidR="00AE41EC" w:rsidRPr="00536935">
        <w:rPr>
          <w:rFonts w:ascii="Arial" w:hAnsi="Arial" w:cs="Arial"/>
        </w:rPr>
        <w:t>gains manqués</w:t>
      </w:r>
      <w:r w:rsidRPr="00536935">
        <w:rPr>
          <w:rFonts w:ascii="Arial" w:hAnsi="Arial" w:cs="Arial"/>
        </w:rPr>
        <w:t xml:space="preserve"> du titulaire de</w:t>
      </w:r>
      <w:r w:rsidR="005720C8" w:rsidRPr="00536935">
        <w:rPr>
          <w:rFonts w:ascii="Arial" w:hAnsi="Arial" w:cs="Arial"/>
        </w:rPr>
        <w:t xml:space="preserve">s droits </w:t>
      </w:r>
      <w:r w:rsidRPr="00536935">
        <w:rPr>
          <w:rFonts w:ascii="Arial" w:hAnsi="Arial" w:cs="Arial"/>
        </w:rPr>
        <w:t>devraient être calculés comme</w:t>
      </w:r>
      <w:r w:rsidR="005720C8" w:rsidRPr="00536935">
        <w:rPr>
          <w:rFonts w:ascii="Arial" w:hAnsi="Arial" w:cs="Arial"/>
        </w:rPr>
        <w:t xml:space="preserve"> étant</w:t>
      </w:r>
      <w:r w:rsidRPr="00536935">
        <w:rPr>
          <w:rFonts w:ascii="Arial" w:hAnsi="Arial" w:cs="Arial"/>
        </w:rPr>
        <w:t xml:space="preserve"> le revenu net des ventes du titulaire de</w:t>
      </w:r>
      <w:r w:rsidR="005720C8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droit</w:t>
      </w:r>
      <w:r w:rsidR="005720C8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(</w:t>
      </w:r>
      <w:r w:rsidR="005720C8" w:rsidRPr="00536935">
        <w:rPr>
          <w:rFonts w:ascii="Arial" w:hAnsi="Arial" w:cs="Arial"/>
        </w:rPr>
        <w:t>soit</w:t>
      </w:r>
      <w:r w:rsidRPr="00536935">
        <w:rPr>
          <w:rFonts w:ascii="Arial" w:hAnsi="Arial" w:cs="Arial"/>
          <w:i/>
        </w:rPr>
        <w:t xml:space="preserve"> </w:t>
      </w:r>
      <w:r w:rsidRPr="00536935">
        <w:rPr>
          <w:rFonts w:ascii="Arial" w:hAnsi="Arial" w:cs="Arial"/>
        </w:rPr>
        <w:t>après remises e</w:t>
      </w:r>
      <w:r w:rsidR="005720C8" w:rsidRPr="00536935">
        <w:rPr>
          <w:rFonts w:ascii="Arial" w:hAnsi="Arial" w:cs="Arial"/>
        </w:rPr>
        <w:t>t rabais), moins</w:t>
      </w:r>
      <w:r w:rsidR="00AE41EC" w:rsidRPr="00536935">
        <w:rPr>
          <w:rFonts w:ascii="Arial" w:hAnsi="Arial" w:cs="Arial"/>
        </w:rPr>
        <w:t xml:space="preserve"> les coû</w:t>
      </w:r>
      <w:r w:rsidRPr="00536935">
        <w:rPr>
          <w:rFonts w:ascii="Arial" w:hAnsi="Arial" w:cs="Arial"/>
        </w:rPr>
        <w:t xml:space="preserve">ts </w:t>
      </w:r>
      <w:r w:rsidR="005720C8" w:rsidRPr="00536935">
        <w:rPr>
          <w:rFonts w:ascii="Arial" w:hAnsi="Arial" w:cs="Arial"/>
        </w:rPr>
        <w:t xml:space="preserve">du titulaire des droits </w:t>
      </w:r>
      <w:r w:rsidRPr="00536935">
        <w:rPr>
          <w:rFonts w:ascii="Arial" w:hAnsi="Arial" w:cs="Arial"/>
        </w:rPr>
        <w:t>directement liés à ce</w:t>
      </w:r>
      <w:r w:rsidR="005720C8" w:rsidRPr="00536935">
        <w:rPr>
          <w:rFonts w:ascii="Arial" w:hAnsi="Arial" w:cs="Arial"/>
        </w:rPr>
        <w:t>s ventes</w:t>
      </w:r>
      <w:r w:rsidR="00B7154E" w:rsidRPr="00536935">
        <w:rPr>
          <w:rFonts w:ascii="Arial" w:hAnsi="Arial" w:cs="Arial"/>
        </w:rPr>
        <w:t>.</w:t>
      </w:r>
    </w:p>
    <w:p w:rsidR="00DA2D31" w:rsidRPr="00536935" w:rsidRDefault="0071549F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Les dommages devraient aussi</w:t>
      </w:r>
      <w:r w:rsidR="00DA2D31" w:rsidRPr="00536935">
        <w:rPr>
          <w:rFonts w:ascii="Arial" w:hAnsi="Arial" w:cs="Arial"/>
        </w:rPr>
        <w:t xml:space="preserve"> </w:t>
      </w:r>
      <w:r w:rsidR="000F6628" w:rsidRPr="00536935">
        <w:rPr>
          <w:rFonts w:ascii="Arial" w:hAnsi="Arial" w:cs="Arial"/>
        </w:rPr>
        <w:t>être répar</w:t>
      </w:r>
      <w:r w:rsidRPr="00536935">
        <w:rPr>
          <w:rFonts w:ascii="Arial" w:hAnsi="Arial" w:cs="Arial"/>
        </w:rPr>
        <w:t>és quand les</w:t>
      </w:r>
      <w:r w:rsidR="000F6628" w:rsidRPr="00536935">
        <w:rPr>
          <w:rFonts w:ascii="Arial" w:hAnsi="Arial" w:cs="Arial"/>
        </w:rPr>
        <w:t xml:space="preserve"> vente</w:t>
      </w:r>
      <w:r w:rsidRPr="00536935">
        <w:rPr>
          <w:rFonts w:ascii="Arial" w:hAnsi="Arial" w:cs="Arial"/>
        </w:rPr>
        <w:t>s</w:t>
      </w:r>
      <w:r w:rsidR="000F6628" w:rsidRPr="00536935">
        <w:rPr>
          <w:rFonts w:ascii="Arial" w:hAnsi="Arial" w:cs="Arial"/>
        </w:rPr>
        <w:t xml:space="preserve"> des produits ou services du titulaire de</w:t>
      </w:r>
      <w:r w:rsidRPr="00536935">
        <w:rPr>
          <w:rFonts w:ascii="Arial" w:hAnsi="Arial" w:cs="Arial"/>
        </w:rPr>
        <w:t>s</w:t>
      </w:r>
      <w:r w:rsidR="000F6628" w:rsidRPr="00536935">
        <w:rPr>
          <w:rFonts w:ascii="Arial" w:hAnsi="Arial" w:cs="Arial"/>
        </w:rPr>
        <w:t xml:space="preserve"> droit</w:t>
      </w:r>
      <w:r w:rsidRPr="00536935">
        <w:rPr>
          <w:rFonts w:ascii="Arial" w:hAnsi="Arial" w:cs="Arial"/>
        </w:rPr>
        <w:t>s,</w:t>
      </w:r>
      <w:r w:rsidR="000F6628" w:rsidRPr="00536935">
        <w:rPr>
          <w:rFonts w:ascii="Arial" w:hAnsi="Arial" w:cs="Arial"/>
        </w:rPr>
        <w:t xml:space="preserve"> en</w:t>
      </w:r>
      <w:r w:rsidRPr="00536935">
        <w:rPr>
          <w:rFonts w:ascii="Arial" w:hAnsi="Arial" w:cs="Arial"/>
        </w:rPr>
        <w:t xml:space="preserve"> concurrence avec la contrefaçon mais sans mettre en œuvre le</w:t>
      </w:r>
      <w:r w:rsidR="00B641CD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droit</w:t>
      </w:r>
      <w:r w:rsidR="00B641CD" w:rsidRPr="00536935">
        <w:rPr>
          <w:rFonts w:ascii="Arial" w:hAnsi="Arial" w:cs="Arial"/>
        </w:rPr>
        <w:t>s</w:t>
      </w:r>
      <w:r w:rsidRPr="00536935">
        <w:rPr>
          <w:rFonts w:ascii="Arial" w:hAnsi="Arial" w:cs="Arial"/>
        </w:rPr>
        <w:t xml:space="preserve"> de PI, ont été </w:t>
      </w:r>
      <w:r w:rsidR="00B7154E" w:rsidRPr="00536935">
        <w:rPr>
          <w:rFonts w:ascii="Arial" w:hAnsi="Arial" w:cs="Arial"/>
        </w:rPr>
        <w:t>p</w:t>
      </w:r>
      <w:r w:rsidR="00F90498" w:rsidRPr="00536935">
        <w:rPr>
          <w:rFonts w:ascii="Arial" w:hAnsi="Arial" w:cs="Arial"/>
        </w:rPr>
        <w:t>erdue</w:t>
      </w:r>
      <w:r w:rsidRPr="00536935">
        <w:rPr>
          <w:rFonts w:ascii="Arial" w:hAnsi="Arial" w:cs="Arial"/>
        </w:rPr>
        <w:t>s</w:t>
      </w:r>
      <w:r w:rsidR="00F90498" w:rsidRPr="00536935">
        <w:rPr>
          <w:rFonts w:ascii="Arial" w:hAnsi="Arial" w:cs="Arial"/>
        </w:rPr>
        <w:t xml:space="preserve"> d</w:t>
      </w:r>
      <w:r w:rsidR="00DA2D31" w:rsidRPr="00536935">
        <w:rPr>
          <w:rFonts w:ascii="Arial" w:hAnsi="Arial" w:cs="Arial"/>
        </w:rPr>
        <w:t>u fait de la contrefaçon,</w:t>
      </w:r>
      <w:r w:rsidR="00B641CD" w:rsidRPr="00536935">
        <w:rPr>
          <w:rFonts w:ascii="Arial" w:hAnsi="Arial" w:cs="Arial"/>
        </w:rPr>
        <w:t xml:space="preserve"> pour autant que le titulaire des</w:t>
      </w:r>
      <w:r w:rsidR="00DA2D31" w:rsidRPr="00536935">
        <w:rPr>
          <w:rFonts w:ascii="Arial" w:hAnsi="Arial" w:cs="Arial"/>
        </w:rPr>
        <w:t xml:space="preserve"> droit</w:t>
      </w:r>
      <w:r w:rsidR="00B641CD" w:rsidRPr="00536935">
        <w:rPr>
          <w:rFonts w:ascii="Arial" w:hAnsi="Arial" w:cs="Arial"/>
        </w:rPr>
        <w:t>s</w:t>
      </w:r>
      <w:r w:rsidR="00DA2D31" w:rsidRPr="00536935">
        <w:rPr>
          <w:rFonts w:ascii="Arial" w:hAnsi="Arial" w:cs="Arial"/>
        </w:rPr>
        <w:t xml:space="preserve"> établisse</w:t>
      </w:r>
      <w:r w:rsidR="00B7154E" w:rsidRPr="00536935">
        <w:rPr>
          <w:rFonts w:ascii="Arial" w:hAnsi="Arial" w:cs="Arial"/>
        </w:rPr>
        <w:t xml:space="preserve"> un lien de causalité entre </w:t>
      </w:r>
      <w:r w:rsidR="00DA2D31" w:rsidRPr="00536935">
        <w:rPr>
          <w:rFonts w:ascii="Arial" w:hAnsi="Arial" w:cs="Arial"/>
        </w:rPr>
        <w:t>la contrefaçon et les ventes perdues. Les tribunaux pourront</w:t>
      </w:r>
      <w:r w:rsidR="00B7154E" w:rsidRPr="00536935">
        <w:rPr>
          <w:rFonts w:ascii="Arial" w:hAnsi="Arial" w:cs="Arial"/>
        </w:rPr>
        <w:t xml:space="preserve"> prendre en considératio</w:t>
      </w:r>
      <w:r w:rsidR="00DA2D31" w:rsidRPr="00536935">
        <w:rPr>
          <w:rFonts w:ascii="Arial" w:hAnsi="Arial" w:cs="Arial"/>
        </w:rPr>
        <w:t>n le degré et l’importance</w:t>
      </w:r>
      <w:r w:rsidR="00B7154E" w:rsidRPr="00536935">
        <w:rPr>
          <w:rFonts w:ascii="Arial" w:hAnsi="Arial" w:cs="Arial"/>
        </w:rPr>
        <w:t xml:space="preserve"> </w:t>
      </w:r>
      <w:r w:rsidR="00DA2D31" w:rsidRPr="00536935">
        <w:rPr>
          <w:rFonts w:ascii="Arial" w:hAnsi="Arial" w:cs="Arial"/>
        </w:rPr>
        <w:t xml:space="preserve">du lien de causalité lorsqu’ils apprécieront le </w:t>
      </w:r>
      <w:r w:rsidR="00DA2D31" w:rsidRPr="00536935">
        <w:rPr>
          <w:rFonts w:ascii="Arial" w:hAnsi="Arial" w:cs="Arial"/>
          <w:i/>
        </w:rPr>
        <w:t>quantum</w:t>
      </w:r>
      <w:r w:rsidR="00DA2D31" w:rsidRPr="00536935">
        <w:rPr>
          <w:rFonts w:ascii="Arial" w:hAnsi="Arial" w:cs="Arial"/>
        </w:rPr>
        <w:t xml:space="preserve"> approprié des</w:t>
      </w:r>
      <w:r w:rsidR="00B7154E" w:rsidRPr="00536935">
        <w:rPr>
          <w:rFonts w:ascii="Arial" w:hAnsi="Arial" w:cs="Arial"/>
        </w:rPr>
        <w:t xml:space="preserve"> dommage</w:t>
      </w:r>
      <w:r w:rsidR="00DA2D31" w:rsidRPr="00536935">
        <w:rPr>
          <w:rFonts w:ascii="Arial" w:hAnsi="Arial" w:cs="Arial"/>
        </w:rPr>
        <w:t>s.</w:t>
      </w:r>
    </w:p>
    <w:p w:rsidR="00DA2D31" w:rsidRPr="00536935" w:rsidRDefault="00DA2D31" w:rsidP="00053CF9">
      <w:pPr>
        <w:pStyle w:val="ListParagraph"/>
        <w:jc w:val="both"/>
        <w:rPr>
          <w:rFonts w:ascii="Arial" w:hAnsi="Arial" w:cs="Arial"/>
        </w:rPr>
      </w:pPr>
    </w:p>
    <w:p w:rsidR="005D41AC" w:rsidRPr="00536935" w:rsidRDefault="001F02FC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Des mécanismes devraient être disponibles afin de préserver la confidentialité des informations commerciales</w:t>
      </w:r>
      <w:r w:rsidR="002A13C8" w:rsidRPr="00536935">
        <w:rPr>
          <w:rFonts w:ascii="Arial" w:hAnsi="Arial" w:cs="Arial"/>
        </w:rPr>
        <w:t xml:space="preserve"> et financières d’une partie, </w:t>
      </w:r>
      <w:r w:rsidR="00F86FA4" w:rsidRPr="00536935">
        <w:rPr>
          <w:rFonts w:ascii="Arial" w:hAnsi="Arial" w:cs="Arial"/>
        </w:rPr>
        <w:t>pertinentes pour</w:t>
      </w:r>
      <w:r w:rsidR="002A13C8" w:rsidRPr="00536935">
        <w:rPr>
          <w:rFonts w:ascii="Arial" w:hAnsi="Arial" w:cs="Arial"/>
        </w:rPr>
        <w:t xml:space="preserve"> l’évaluation des dommages</w:t>
      </w:r>
      <w:r w:rsidR="00F90498" w:rsidRPr="00536935">
        <w:rPr>
          <w:rFonts w:ascii="Arial" w:hAnsi="Arial" w:cs="Arial"/>
        </w:rPr>
        <w:t>,</w:t>
      </w:r>
      <w:r w:rsidR="002A13C8" w:rsidRPr="00536935">
        <w:rPr>
          <w:rFonts w:ascii="Arial" w:hAnsi="Arial" w:cs="Arial"/>
        </w:rPr>
        <w:t xml:space="preserve"> </w:t>
      </w:r>
      <w:r w:rsidR="00F86FA4" w:rsidRPr="00536935">
        <w:rPr>
          <w:rFonts w:ascii="Arial" w:hAnsi="Arial" w:cs="Arial"/>
        </w:rPr>
        <w:t>d’</w:t>
      </w:r>
      <w:r w:rsidR="002A13C8" w:rsidRPr="00536935">
        <w:rPr>
          <w:rFonts w:ascii="Arial" w:hAnsi="Arial" w:cs="Arial"/>
        </w:rPr>
        <w:t>une divulgation au public ou à l’autre partie</w:t>
      </w:r>
      <w:r w:rsidR="00F90498" w:rsidRPr="00536935">
        <w:rPr>
          <w:rFonts w:ascii="Arial" w:hAnsi="Arial" w:cs="Arial"/>
        </w:rPr>
        <w:t xml:space="preserve">. </w:t>
      </w:r>
    </w:p>
    <w:p w:rsidR="00E07FF9" w:rsidRPr="00536935" w:rsidRDefault="00E07FF9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Le paragraphe 7) ci-dessus n’est pas destiné à empêcher la divulgation des preuves à la disposition, à la garde ou sous le contrôle du contrefacteur suivant le paragraphe 4) ci-dessus, dès lors que des mesures appropriées de protection de la confidentialité sont en place.</w:t>
      </w:r>
    </w:p>
    <w:p w:rsidR="005D41AC" w:rsidRPr="00536935" w:rsidRDefault="00EB2459" w:rsidP="00EA568F">
      <w:pPr>
        <w:pStyle w:val="ListParagraph"/>
        <w:keepNext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Pour évaluer </w:t>
      </w:r>
      <w:r w:rsidR="00F324B2" w:rsidRPr="00536935">
        <w:rPr>
          <w:rFonts w:ascii="Arial" w:hAnsi="Arial" w:cs="Arial"/>
        </w:rPr>
        <w:t>une</w:t>
      </w:r>
      <w:r w:rsidR="005D41AC" w:rsidRPr="00536935">
        <w:rPr>
          <w:rFonts w:ascii="Arial" w:hAnsi="Arial" w:cs="Arial"/>
        </w:rPr>
        <w:t xml:space="preserve"> </w:t>
      </w:r>
      <w:r w:rsidR="00F324B2" w:rsidRPr="00536935">
        <w:rPr>
          <w:rFonts w:ascii="Arial" w:hAnsi="Arial" w:cs="Arial"/>
        </w:rPr>
        <w:t>redevance raisonnable</w:t>
      </w:r>
      <w:r w:rsidR="005D41AC" w:rsidRPr="00536935">
        <w:rPr>
          <w:rFonts w:ascii="Arial" w:hAnsi="Arial" w:cs="Arial"/>
        </w:rPr>
        <w:t xml:space="preserve">, </w:t>
      </w:r>
      <w:r w:rsidR="00F324B2" w:rsidRPr="00536935">
        <w:rPr>
          <w:rFonts w:ascii="Arial" w:hAnsi="Arial" w:cs="Arial"/>
        </w:rPr>
        <w:t>les tribunaux</w:t>
      </w:r>
      <w:r w:rsidR="005D41AC" w:rsidRPr="00536935">
        <w:rPr>
          <w:rFonts w:ascii="Arial" w:hAnsi="Arial" w:cs="Arial"/>
        </w:rPr>
        <w:t xml:space="preserve"> devrai</w:t>
      </w:r>
      <w:r w:rsidR="00F324B2" w:rsidRPr="00536935">
        <w:rPr>
          <w:rFonts w:ascii="Arial" w:hAnsi="Arial" w:cs="Arial"/>
        </w:rPr>
        <w:t xml:space="preserve">ent </w:t>
      </w:r>
      <w:r w:rsidR="005D41AC" w:rsidRPr="00536935">
        <w:rPr>
          <w:rFonts w:ascii="Arial" w:hAnsi="Arial" w:cs="Arial"/>
        </w:rPr>
        <w:t>prendre en considération </w:t>
      </w:r>
      <w:r w:rsidR="00F324B2" w:rsidRPr="00536935">
        <w:rPr>
          <w:rFonts w:ascii="Arial" w:hAnsi="Arial" w:cs="Arial"/>
        </w:rPr>
        <w:t>des facteurs incluant, notamment </w:t>
      </w:r>
      <w:r w:rsidR="005D41AC" w:rsidRPr="00536935">
        <w:rPr>
          <w:rFonts w:ascii="Arial" w:hAnsi="Arial" w:cs="Arial"/>
        </w:rPr>
        <w:t>:</w:t>
      </w:r>
    </w:p>
    <w:p w:rsidR="001F02FC" w:rsidRPr="00536935" w:rsidRDefault="00F324B2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5D41AC" w:rsidRPr="00536935">
        <w:rPr>
          <w:rFonts w:ascii="Arial" w:hAnsi="Arial" w:cs="Arial"/>
        </w:rPr>
        <w:t>es autre</w:t>
      </w:r>
      <w:r w:rsidRPr="00536935">
        <w:rPr>
          <w:rFonts w:ascii="Arial" w:hAnsi="Arial" w:cs="Arial"/>
        </w:rPr>
        <w:t>s contrats de licence sur</w:t>
      </w:r>
      <w:r w:rsidR="005D41AC" w:rsidRPr="00536935">
        <w:rPr>
          <w:rFonts w:ascii="Arial" w:hAnsi="Arial" w:cs="Arial"/>
        </w:rPr>
        <w:t xml:space="preserve"> le même droit</w:t>
      </w:r>
      <w:r w:rsidRPr="00536935">
        <w:rPr>
          <w:rFonts w:ascii="Arial" w:hAnsi="Arial" w:cs="Arial"/>
        </w:rPr>
        <w:t xml:space="preserve"> de PI</w:t>
      </w:r>
      <w:r w:rsidR="005D41AC" w:rsidRPr="00536935">
        <w:rPr>
          <w:rFonts w:ascii="Arial" w:hAnsi="Arial" w:cs="Arial"/>
        </w:rPr>
        <w:t xml:space="preserve"> que </w:t>
      </w:r>
      <w:r w:rsidRPr="00536935">
        <w:rPr>
          <w:rFonts w:ascii="Arial" w:hAnsi="Arial" w:cs="Arial"/>
        </w:rPr>
        <w:t>ce</w:t>
      </w:r>
      <w:r w:rsidR="00E07FF9" w:rsidRPr="00536935">
        <w:rPr>
          <w:rFonts w:ascii="Arial" w:hAnsi="Arial" w:cs="Arial"/>
        </w:rPr>
        <w:t>lui</w:t>
      </w:r>
      <w:r w:rsidR="008767C1" w:rsidRPr="00536935">
        <w:rPr>
          <w:rFonts w:ascii="Arial" w:hAnsi="Arial" w:cs="Arial"/>
        </w:rPr>
        <w:t xml:space="preserve"> </w:t>
      </w:r>
      <w:r w:rsidRPr="00536935">
        <w:rPr>
          <w:rFonts w:ascii="Arial" w:hAnsi="Arial" w:cs="Arial"/>
        </w:rPr>
        <w:t xml:space="preserve">en </w:t>
      </w:r>
      <w:r w:rsidR="008767C1" w:rsidRPr="00536935">
        <w:rPr>
          <w:rFonts w:ascii="Arial" w:hAnsi="Arial" w:cs="Arial"/>
        </w:rPr>
        <w:t>litige</w:t>
      </w:r>
      <w:r w:rsidRPr="00536935">
        <w:rPr>
          <w:rFonts w:ascii="Arial" w:hAnsi="Arial" w:cs="Arial"/>
        </w:rPr>
        <w:t xml:space="preserve"> (mais e</w:t>
      </w:r>
      <w:r w:rsidR="005D41AC" w:rsidRPr="00536935">
        <w:rPr>
          <w:rFonts w:ascii="Arial" w:hAnsi="Arial" w:cs="Arial"/>
        </w:rPr>
        <w:t xml:space="preserve">n prenant </w:t>
      </w:r>
      <w:r w:rsidR="00807CB1" w:rsidRPr="00536935">
        <w:rPr>
          <w:rFonts w:ascii="Arial" w:hAnsi="Arial" w:cs="Arial"/>
        </w:rPr>
        <w:t xml:space="preserve">bien </w:t>
      </w:r>
      <w:r w:rsidR="005D41AC" w:rsidRPr="00536935">
        <w:rPr>
          <w:rFonts w:ascii="Arial" w:hAnsi="Arial" w:cs="Arial"/>
        </w:rPr>
        <w:t xml:space="preserve">en compte les circonstances </w:t>
      </w:r>
      <w:r w:rsidR="0055062B" w:rsidRPr="00536935">
        <w:rPr>
          <w:rFonts w:ascii="Arial" w:hAnsi="Arial" w:cs="Arial"/>
        </w:rPr>
        <w:t>dans</w:t>
      </w:r>
      <w:r w:rsidR="005D41AC" w:rsidRPr="00536935">
        <w:rPr>
          <w:rFonts w:ascii="Arial" w:hAnsi="Arial" w:cs="Arial"/>
        </w:rPr>
        <w:t xml:space="preserve"> lesquelles tout autre contrat de licence</w:t>
      </w:r>
      <w:r w:rsidR="0055062B" w:rsidRPr="00536935">
        <w:rPr>
          <w:rFonts w:ascii="Arial" w:hAnsi="Arial" w:cs="Arial"/>
        </w:rPr>
        <w:t xml:space="preserve"> a</w:t>
      </w:r>
      <w:r w:rsidR="008767C1" w:rsidRPr="00536935">
        <w:rPr>
          <w:rFonts w:ascii="Arial" w:hAnsi="Arial" w:cs="Arial"/>
        </w:rPr>
        <w:t xml:space="preserve"> été négocié et, en particulier</w:t>
      </w:r>
      <w:r w:rsidR="0055062B" w:rsidRPr="00536935">
        <w:rPr>
          <w:rFonts w:ascii="Arial" w:hAnsi="Arial" w:cs="Arial"/>
        </w:rPr>
        <w:t xml:space="preserve"> mais non</w:t>
      </w:r>
      <w:r w:rsidR="00807CB1" w:rsidRPr="00536935">
        <w:rPr>
          <w:rFonts w:ascii="Arial" w:hAnsi="Arial" w:cs="Arial"/>
        </w:rPr>
        <w:t xml:space="preserve"> seulement, si la contrefaçon et/ou</w:t>
      </w:r>
      <w:r w:rsidR="0055062B" w:rsidRPr="00536935">
        <w:rPr>
          <w:rFonts w:ascii="Arial" w:hAnsi="Arial" w:cs="Arial"/>
        </w:rPr>
        <w:t xml:space="preserve"> la validité du </w:t>
      </w:r>
      <w:r w:rsidR="00807CB1" w:rsidRPr="00536935">
        <w:rPr>
          <w:rFonts w:ascii="Arial" w:hAnsi="Arial" w:cs="Arial"/>
        </w:rPr>
        <w:t>droit de PI</w:t>
      </w:r>
      <w:r w:rsidR="008767C1" w:rsidRPr="00536935">
        <w:rPr>
          <w:rFonts w:ascii="Arial" w:hAnsi="Arial" w:cs="Arial"/>
        </w:rPr>
        <w:t xml:space="preserve"> en litige ont été déterminé</w:t>
      </w:r>
      <w:r w:rsidR="00807CB1" w:rsidRPr="00536935">
        <w:rPr>
          <w:rFonts w:ascii="Arial" w:hAnsi="Arial" w:cs="Arial"/>
        </w:rPr>
        <w:t>e</w:t>
      </w:r>
      <w:r w:rsidR="008767C1" w:rsidRPr="00536935">
        <w:rPr>
          <w:rFonts w:ascii="Arial" w:hAnsi="Arial" w:cs="Arial"/>
        </w:rPr>
        <w:t>s)</w:t>
      </w:r>
      <w:r w:rsidR="0055062B" w:rsidRPr="00536935">
        <w:rPr>
          <w:rFonts w:ascii="Arial" w:hAnsi="Arial" w:cs="Arial"/>
        </w:rPr>
        <w:t> ;</w:t>
      </w:r>
    </w:p>
    <w:p w:rsidR="0055062B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55062B" w:rsidRPr="00536935">
        <w:rPr>
          <w:rFonts w:ascii="Arial" w:hAnsi="Arial" w:cs="Arial"/>
        </w:rPr>
        <w:t>es autres contrats de licence con</w:t>
      </w:r>
      <w:r w:rsidRPr="00536935">
        <w:rPr>
          <w:rFonts w:ascii="Arial" w:hAnsi="Arial" w:cs="Arial"/>
        </w:rPr>
        <w:t>cernant des droits de PI</w:t>
      </w:r>
      <w:r w:rsidR="00A60858" w:rsidRPr="00536935">
        <w:rPr>
          <w:rFonts w:ascii="Arial" w:hAnsi="Arial" w:cs="Arial"/>
        </w:rPr>
        <w:t xml:space="preserve"> similaires à ce</w:t>
      </w:r>
      <w:r w:rsidR="00E07FF9" w:rsidRPr="00536935">
        <w:rPr>
          <w:rFonts w:ascii="Arial" w:hAnsi="Arial" w:cs="Arial"/>
        </w:rPr>
        <w:t>lui</w:t>
      </w:r>
      <w:r w:rsidR="0055062B" w:rsidRPr="00536935">
        <w:rPr>
          <w:rFonts w:ascii="Arial" w:hAnsi="Arial" w:cs="Arial"/>
        </w:rPr>
        <w:t xml:space="preserve"> en litige</w:t>
      </w:r>
      <w:r w:rsidR="008767C1" w:rsidRPr="00536935">
        <w:rPr>
          <w:rFonts w:ascii="Arial" w:hAnsi="Arial" w:cs="Arial"/>
        </w:rPr>
        <w:t> ;</w:t>
      </w:r>
    </w:p>
    <w:p w:rsidR="0055062B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8767C1" w:rsidRPr="00536935">
        <w:rPr>
          <w:rFonts w:ascii="Arial" w:hAnsi="Arial" w:cs="Arial"/>
        </w:rPr>
        <w:t>e coû</w:t>
      </w:r>
      <w:r w:rsidR="0055062B" w:rsidRPr="00536935">
        <w:rPr>
          <w:rFonts w:ascii="Arial" w:hAnsi="Arial" w:cs="Arial"/>
        </w:rPr>
        <w:t>t des alternatives non contrefaisantes</w:t>
      </w:r>
      <w:r w:rsidR="008767C1" w:rsidRPr="00536935">
        <w:rPr>
          <w:rFonts w:ascii="Arial" w:hAnsi="Arial" w:cs="Arial"/>
        </w:rPr>
        <w:t> ;</w:t>
      </w:r>
    </w:p>
    <w:p w:rsidR="0055062B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55062B" w:rsidRPr="00536935">
        <w:rPr>
          <w:rFonts w:ascii="Arial" w:hAnsi="Arial" w:cs="Arial"/>
        </w:rPr>
        <w:t>es avantages d</w:t>
      </w:r>
      <w:r w:rsidR="00A97EF6" w:rsidRPr="00536935">
        <w:rPr>
          <w:rFonts w:ascii="Arial" w:hAnsi="Arial" w:cs="Arial"/>
        </w:rPr>
        <w:t>u</w:t>
      </w:r>
      <w:r w:rsidR="0055062B" w:rsidRPr="00536935">
        <w:rPr>
          <w:rFonts w:ascii="Arial" w:hAnsi="Arial" w:cs="Arial"/>
        </w:rPr>
        <w:t xml:space="preserve"> </w:t>
      </w:r>
      <w:r w:rsidRPr="00536935">
        <w:rPr>
          <w:rFonts w:ascii="Arial" w:hAnsi="Arial" w:cs="Arial"/>
        </w:rPr>
        <w:t>droit de PI en litige</w:t>
      </w:r>
      <w:r w:rsidR="0055062B" w:rsidRPr="00536935">
        <w:rPr>
          <w:rFonts w:ascii="Arial" w:hAnsi="Arial" w:cs="Arial"/>
        </w:rPr>
        <w:t xml:space="preserve"> compa</w:t>
      </w:r>
      <w:r w:rsidRPr="00536935">
        <w:rPr>
          <w:rFonts w:ascii="Arial" w:hAnsi="Arial" w:cs="Arial"/>
        </w:rPr>
        <w:t>rés aux alternatives (incluant les frais de licence dus pour</w:t>
      </w:r>
      <w:r w:rsidR="0055062B" w:rsidRPr="00536935">
        <w:rPr>
          <w:rFonts w:ascii="Arial" w:hAnsi="Arial" w:cs="Arial"/>
        </w:rPr>
        <w:t xml:space="preserve"> les alternatives)</w:t>
      </w:r>
      <w:r w:rsidR="008767C1" w:rsidRPr="00536935">
        <w:rPr>
          <w:rFonts w:ascii="Arial" w:hAnsi="Arial" w:cs="Arial"/>
        </w:rPr>
        <w:t> ;</w:t>
      </w:r>
    </w:p>
    <w:p w:rsidR="0055062B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55062B" w:rsidRPr="00536935">
        <w:rPr>
          <w:rFonts w:ascii="Arial" w:hAnsi="Arial" w:cs="Arial"/>
        </w:rPr>
        <w:t>a profitabilit</w:t>
      </w:r>
      <w:r w:rsidRPr="00536935">
        <w:rPr>
          <w:rFonts w:ascii="Arial" w:hAnsi="Arial" w:cs="Arial"/>
        </w:rPr>
        <w:t>é des produits ou services englob</w:t>
      </w:r>
      <w:r w:rsidR="0055062B" w:rsidRPr="00536935">
        <w:rPr>
          <w:rFonts w:ascii="Arial" w:hAnsi="Arial" w:cs="Arial"/>
        </w:rPr>
        <w:t xml:space="preserve">ant le </w:t>
      </w:r>
      <w:r w:rsidRPr="00536935">
        <w:rPr>
          <w:rFonts w:ascii="Arial" w:hAnsi="Arial" w:cs="Arial"/>
        </w:rPr>
        <w:t>droit de PI</w:t>
      </w:r>
      <w:r w:rsidR="0055062B" w:rsidRPr="00536935">
        <w:rPr>
          <w:rFonts w:ascii="Arial" w:hAnsi="Arial" w:cs="Arial"/>
        </w:rPr>
        <w:t xml:space="preserve"> </w:t>
      </w:r>
      <w:r w:rsidR="00272A92" w:rsidRPr="00536935">
        <w:rPr>
          <w:rFonts w:ascii="Arial" w:hAnsi="Arial" w:cs="Arial"/>
        </w:rPr>
        <w:t>en litige</w:t>
      </w:r>
      <w:r w:rsidR="008767C1" w:rsidRPr="00536935">
        <w:rPr>
          <w:rFonts w:ascii="Arial" w:hAnsi="Arial" w:cs="Arial"/>
        </w:rPr>
        <w:t> ;</w:t>
      </w:r>
    </w:p>
    <w:p w:rsidR="0055062B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8767C1" w:rsidRPr="00536935">
        <w:rPr>
          <w:rFonts w:ascii="Arial" w:hAnsi="Arial" w:cs="Arial"/>
        </w:rPr>
        <w:t>es coû</w:t>
      </w:r>
      <w:r w:rsidR="00272A92" w:rsidRPr="00536935">
        <w:rPr>
          <w:rFonts w:ascii="Arial" w:hAnsi="Arial" w:cs="Arial"/>
        </w:rPr>
        <w:t>ts de développem</w:t>
      </w:r>
      <w:r w:rsidR="00A60858" w:rsidRPr="00536935">
        <w:rPr>
          <w:rFonts w:ascii="Arial" w:hAnsi="Arial" w:cs="Arial"/>
        </w:rPr>
        <w:t>ent d</w:t>
      </w:r>
      <w:r w:rsidR="00A97EF6" w:rsidRPr="00536935">
        <w:rPr>
          <w:rFonts w:ascii="Arial" w:hAnsi="Arial" w:cs="Arial"/>
        </w:rPr>
        <w:t>u</w:t>
      </w:r>
      <w:r w:rsidR="00A60858" w:rsidRPr="00536935">
        <w:rPr>
          <w:rFonts w:ascii="Arial" w:hAnsi="Arial" w:cs="Arial"/>
        </w:rPr>
        <w:t xml:space="preserve"> droit </w:t>
      </w:r>
      <w:r w:rsidRPr="00536935">
        <w:rPr>
          <w:rFonts w:ascii="Arial" w:hAnsi="Arial" w:cs="Arial"/>
        </w:rPr>
        <w:t>de PI en</w:t>
      </w:r>
      <w:r w:rsidR="00272A92" w:rsidRPr="00536935">
        <w:rPr>
          <w:rFonts w:ascii="Arial" w:hAnsi="Arial" w:cs="Arial"/>
        </w:rPr>
        <w:t xml:space="preserve"> litige</w:t>
      </w:r>
      <w:r w:rsidR="008767C1" w:rsidRPr="00536935">
        <w:rPr>
          <w:rFonts w:ascii="Arial" w:hAnsi="Arial" w:cs="Arial"/>
        </w:rPr>
        <w:t> ;</w:t>
      </w:r>
      <w:r w:rsidR="00A97EF6" w:rsidRPr="00536935">
        <w:rPr>
          <w:rFonts w:ascii="Arial" w:hAnsi="Arial" w:cs="Arial"/>
        </w:rPr>
        <w:t xml:space="preserve"> et</w:t>
      </w:r>
    </w:p>
    <w:p w:rsidR="00272A92" w:rsidRPr="00536935" w:rsidRDefault="00807CB1" w:rsidP="00EA568F">
      <w:pPr>
        <w:pStyle w:val="ListParagraph"/>
        <w:numPr>
          <w:ilvl w:val="0"/>
          <w:numId w:val="10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l’absence</w:t>
      </w:r>
      <w:r w:rsidR="00023C54" w:rsidRPr="00536935">
        <w:rPr>
          <w:rFonts w:ascii="Arial" w:hAnsi="Arial" w:cs="Arial"/>
        </w:rPr>
        <w:t xml:space="preserve"> et/ou l’existence de discussions antérieures sur une licence, entre les parties.</w:t>
      </w:r>
    </w:p>
    <w:p w:rsidR="00272A92" w:rsidRPr="00536935" w:rsidRDefault="00EB2459" w:rsidP="00D32818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Pour évaluer </w:t>
      </w:r>
      <w:r w:rsidR="00023C54" w:rsidRPr="00536935">
        <w:rPr>
          <w:rFonts w:ascii="Arial" w:hAnsi="Arial" w:cs="Arial"/>
        </w:rPr>
        <w:t xml:space="preserve">une </w:t>
      </w:r>
      <w:r w:rsidR="00272A92" w:rsidRPr="00536935">
        <w:rPr>
          <w:rFonts w:ascii="Arial" w:hAnsi="Arial" w:cs="Arial"/>
        </w:rPr>
        <w:t>r</w:t>
      </w:r>
      <w:r w:rsidR="00023C54" w:rsidRPr="00536935">
        <w:rPr>
          <w:rFonts w:ascii="Arial" w:hAnsi="Arial" w:cs="Arial"/>
        </w:rPr>
        <w:t>edevance raisonnable</w:t>
      </w:r>
      <w:r w:rsidR="00272A92" w:rsidRPr="00536935">
        <w:rPr>
          <w:rFonts w:ascii="Arial" w:hAnsi="Arial" w:cs="Arial"/>
        </w:rPr>
        <w:t>, les parties</w:t>
      </w:r>
      <w:r w:rsidR="00412D4B" w:rsidRPr="00536935">
        <w:rPr>
          <w:rFonts w:ascii="Arial" w:hAnsi="Arial" w:cs="Arial"/>
        </w:rPr>
        <w:t xml:space="preserve"> devraient être considéré</w:t>
      </w:r>
      <w:r w:rsidR="00023C54" w:rsidRPr="00536935">
        <w:rPr>
          <w:rFonts w:ascii="Arial" w:hAnsi="Arial" w:cs="Arial"/>
        </w:rPr>
        <w:t>e</w:t>
      </w:r>
      <w:r w:rsidR="00412D4B" w:rsidRPr="00536935">
        <w:rPr>
          <w:rFonts w:ascii="Arial" w:hAnsi="Arial" w:cs="Arial"/>
        </w:rPr>
        <w:t xml:space="preserve">s comme </w:t>
      </w:r>
      <w:r w:rsidR="00023C54" w:rsidRPr="00536935">
        <w:rPr>
          <w:rFonts w:ascii="Arial" w:hAnsi="Arial" w:cs="Arial"/>
        </w:rPr>
        <w:t>donneur de licence et licencié, avec les spécificités liées au fait que l’un est titulaire d</w:t>
      </w:r>
      <w:r w:rsidR="00A97EF6" w:rsidRPr="00536935">
        <w:rPr>
          <w:rFonts w:ascii="Arial" w:hAnsi="Arial" w:cs="Arial"/>
        </w:rPr>
        <w:t>u</w:t>
      </w:r>
      <w:r w:rsidR="00023C54" w:rsidRPr="00536935">
        <w:rPr>
          <w:rFonts w:ascii="Arial" w:hAnsi="Arial" w:cs="Arial"/>
        </w:rPr>
        <w:t xml:space="preserve"> droit et l’autre contrefacteur, mais en </w:t>
      </w:r>
      <w:r w:rsidR="00BF03C2" w:rsidRPr="00536935">
        <w:rPr>
          <w:rFonts w:ascii="Arial" w:hAnsi="Arial" w:cs="Arial"/>
        </w:rPr>
        <w:t>ignorant</w:t>
      </w:r>
      <w:r w:rsidR="008767C1" w:rsidRPr="00536935">
        <w:rPr>
          <w:rFonts w:ascii="Arial" w:hAnsi="Arial" w:cs="Arial"/>
        </w:rPr>
        <w:t xml:space="preserve"> </w:t>
      </w:r>
      <w:r w:rsidR="00023C54" w:rsidRPr="00536935">
        <w:rPr>
          <w:rFonts w:ascii="Arial" w:hAnsi="Arial" w:cs="Arial"/>
        </w:rPr>
        <w:t>le fait qu’</w:t>
      </w:r>
      <w:r w:rsidR="003B10B4" w:rsidRPr="00536935">
        <w:rPr>
          <w:rFonts w:ascii="Arial" w:hAnsi="Arial" w:cs="Arial"/>
        </w:rPr>
        <w:t xml:space="preserve">une des </w:t>
      </w:r>
      <w:r w:rsidR="00023C54" w:rsidRPr="00536935">
        <w:rPr>
          <w:rFonts w:ascii="Arial" w:hAnsi="Arial" w:cs="Arial"/>
        </w:rPr>
        <w:t xml:space="preserve">deux </w:t>
      </w:r>
      <w:r w:rsidR="003B10B4" w:rsidRPr="00536935">
        <w:rPr>
          <w:rFonts w:ascii="Arial" w:hAnsi="Arial" w:cs="Arial"/>
        </w:rPr>
        <w:t>parties</w:t>
      </w:r>
      <w:r w:rsidR="00023C54" w:rsidRPr="00536935">
        <w:rPr>
          <w:rFonts w:ascii="Arial" w:hAnsi="Arial" w:cs="Arial"/>
        </w:rPr>
        <w:t xml:space="preserve"> ou les deux </w:t>
      </w:r>
      <w:r w:rsidR="008767C1" w:rsidRPr="00536935">
        <w:rPr>
          <w:rFonts w:ascii="Arial" w:hAnsi="Arial" w:cs="Arial"/>
        </w:rPr>
        <w:t>aurai</w:t>
      </w:r>
      <w:r w:rsidR="00023C54" w:rsidRPr="00536935">
        <w:rPr>
          <w:rFonts w:ascii="Arial" w:hAnsi="Arial" w:cs="Arial"/>
        </w:rPr>
        <w:t>en</w:t>
      </w:r>
      <w:r w:rsidR="008767C1" w:rsidRPr="00536935">
        <w:rPr>
          <w:rFonts w:ascii="Arial" w:hAnsi="Arial" w:cs="Arial"/>
        </w:rPr>
        <w:t>t pu refuser de</w:t>
      </w:r>
      <w:r w:rsidR="00023C54" w:rsidRPr="00536935">
        <w:rPr>
          <w:rFonts w:ascii="Arial" w:hAnsi="Arial" w:cs="Arial"/>
        </w:rPr>
        <w:t xml:space="preserve"> conclure une</w:t>
      </w:r>
      <w:r w:rsidR="003B10B4" w:rsidRPr="00536935">
        <w:rPr>
          <w:rFonts w:ascii="Arial" w:hAnsi="Arial" w:cs="Arial"/>
        </w:rPr>
        <w:t xml:space="preserve"> licence</w:t>
      </w:r>
      <w:r w:rsidR="00A97EF6" w:rsidRPr="00536935">
        <w:rPr>
          <w:rFonts w:ascii="Arial" w:hAnsi="Arial" w:cs="Arial"/>
        </w:rPr>
        <w:t xml:space="preserve"> du</w:t>
      </w:r>
      <w:r w:rsidR="00023C54" w:rsidRPr="00536935">
        <w:rPr>
          <w:rFonts w:ascii="Arial" w:hAnsi="Arial" w:cs="Arial"/>
        </w:rPr>
        <w:t xml:space="preserve"> droit de PI en</w:t>
      </w:r>
      <w:r w:rsidR="003B10B4" w:rsidRPr="00536935">
        <w:rPr>
          <w:rFonts w:ascii="Arial" w:hAnsi="Arial" w:cs="Arial"/>
        </w:rPr>
        <w:t xml:space="preserve"> litige.</w:t>
      </w:r>
    </w:p>
    <w:p w:rsidR="00A4113E" w:rsidRPr="00536935" w:rsidRDefault="00A4113E" w:rsidP="00053CF9">
      <w:pPr>
        <w:pStyle w:val="ListParagraph"/>
        <w:jc w:val="both"/>
        <w:rPr>
          <w:rFonts w:ascii="Arial" w:hAnsi="Arial" w:cs="Arial"/>
        </w:rPr>
      </w:pPr>
    </w:p>
    <w:p w:rsidR="008767C1" w:rsidRPr="00536935" w:rsidRDefault="000B3B98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Une redevance raisonnable devrait être évaluée en considérant que le droit</w:t>
      </w:r>
      <w:r w:rsidR="00A60858" w:rsidRPr="00536935">
        <w:rPr>
          <w:rFonts w:ascii="Arial" w:hAnsi="Arial" w:cs="Arial"/>
        </w:rPr>
        <w:t xml:space="preserve"> de PI en litige </w:t>
      </w:r>
      <w:r w:rsidR="00A97EF6" w:rsidRPr="00536935">
        <w:rPr>
          <w:rFonts w:ascii="Arial" w:hAnsi="Arial" w:cs="Arial"/>
        </w:rPr>
        <w:t>es</w:t>
      </w:r>
      <w:r w:rsidR="00A97EF6" w:rsidRPr="00536935">
        <w:rPr>
          <w:rFonts w:ascii="Arial" w:hAnsi="Arial" w:cs="Arial"/>
        </w:rPr>
        <w:t xml:space="preserve">t </w:t>
      </w:r>
      <w:r w:rsidRPr="00536935">
        <w:rPr>
          <w:rFonts w:ascii="Arial" w:hAnsi="Arial" w:cs="Arial"/>
        </w:rPr>
        <w:t>valide et contrefait quand la validité et la contrefaçon ont été reconnues dans la même procédure, ou si les circonstances le garantissent</w:t>
      </w:r>
      <w:r w:rsidR="00AA0B11" w:rsidRPr="00536935">
        <w:rPr>
          <w:rFonts w:ascii="Arial" w:hAnsi="Arial" w:cs="Arial"/>
        </w:rPr>
        <w:t>.</w:t>
      </w:r>
    </w:p>
    <w:p w:rsidR="00DF3368" w:rsidRPr="00536935" w:rsidRDefault="00EB2459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Pour évaluer l</w:t>
      </w:r>
      <w:r w:rsidR="00AA0B11" w:rsidRPr="00536935">
        <w:rPr>
          <w:rFonts w:ascii="Arial" w:hAnsi="Arial" w:cs="Arial"/>
        </w:rPr>
        <w:t xml:space="preserve">es </w:t>
      </w:r>
      <w:r w:rsidR="008767C1" w:rsidRPr="00536935">
        <w:rPr>
          <w:rFonts w:ascii="Arial" w:hAnsi="Arial" w:cs="Arial"/>
        </w:rPr>
        <w:t>gains manqués</w:t>
      </w:r>
      <w:r w:rsidR="00AA0B11" w:rsidRPr="00536935">
        <w:rPr>
          <w:rFonts w:ascii="Arial" w:hAnsi="Arial" w:cs="Arial"/>
        </w:rPr>
        <w:t>, l</w:t>
      </w:r>
      <w:r w:rsidR="003006F6" w:rsidRPr="00536935">
        <w:rPr>
          <w:rFonts w:ascii="Arial" w:hAnsi="Arial" w:cs="Arial"/>
        </w:rPr>
        <w:t>’indemnisation</w:t>
      </w:r>
      <w:r w:rsidR="008E6301" w:rsidRPr="00536935">
        <w:rPr>
          <w:rFonts w:ascii="Arial" w:hAnsi="Arial" w:cs="Arial"/>
        </w:rPr>
        <w:t xml:space="preserve"> devrait être calculée en prenant en compte les </w:t>
      </w:r>
      <w:r w:rsidR="005C5D68" w:rsidRPr="00536935">
        <w:rPr>
          <w:rFonts w:ascii="Arial" w:hAnsi="Arial" w:cs="Arial"/>
        </w:rPr>
        <w:t xml:space="preserve">ventes </w:t>
      </w:r>
      <w:r w:rsidR="003006F6" w:rsidRPr="00536935">
        <w:rPr>
          <w:rFonts w:ascii="Arial" w:hAnsi="Arial" w:cs="Arial"/>
        </w:rPr>
        <w:t>complémentaires</w:t>
      </w:r>
      <w:r w:rsidR="005C5D68" w:rsidRPr="00536935">
        <w:rPr>
          <w:rFonts w:ascii="Arial" w:hAnsi="Arial" w:cs="Arial"/>
        </w:rPr>
        <w:t xml:space="preserve"> réalisées</w:t>
      </w:r>
      <w:r w:rsidR="003006F6" w:rsidRPr="00536935">
        <w:rPr>
          <w:rFonts w:ascii="Arial" w:hAnsi="Arial" w:cs="Arial"/>
        </w:rPr>
        <w:t xml:space="preserve"> </w:t>
      </w:r>
      <w:r w:rsidR="005C5D68" w:rsidRPr="00536935">
        <w:rPr>
          <w:rFonts w:ascii="Arial" w:hAnsi="Arial" w:cs="Arial"/>
        </w:rPr>
        <w:t>par le contrefacteur</w:t>
      </w:r>
      <w:r w:rsidR="003006F6" w:rsidRPr="00536935">
        <w:rPr>
          <w:rFonts w:ascii="Arial" w:hAnsi="Arial" w:cs="Arial"/>
        </w:rPr>
        <w:t>,</w:t>
      </w:r>
      <w:r w:rsidR="005C5D68" w:rsidRPr="00536935">
        <w:rPr>
          <w:rFonts w:ascii="Arial" w:hAnsi="Arial" w:cs="Arial"/>
        </w:rPr>
        <w:t xml:space="preserve"> dans la mesure où ces ventes résultent des ventes perdues de produits ou services</w:t>
      </w:r>
      <w:r w:rsidR="003006F6" w:rsidRPr="00536935">
        <w:rPr>
          <w:rFonts w:ascii="Arial" w:hAnsi="Arial" w:cs="Arial"/>
        </w:rPr>
        <w:t xml:space="preserve"> mettant en </w:t>
      </w:r>
      <w:r w:rsidR="00871DC7" w:rsidRPr="00536935">
        <w:rPr>
          <w:rFonts w:ascii="Arial" w:hAnsi="Arial" w:cs="Arial"/>
        </w:rPr>
        <w:t>œuvre</w:t>
      </w:r>
      <w:r w:rsidR="005C5D68" w:rsidRPr="00536935">
        <w:rPr>
          <w:rFonts w:ascii="Arial" w:hAnsi="Arial" w:cs="Arial"/>
        </w:rPr>
        <w:t xml:space="preserve"> le dr</w:t>
      </w:r>
      <w:r w:rsidR="003006F6" w:rsidRPr="00536935">
        <w:rPr>
          <w:rFonts w:ascii="Arial" w:hAnsi="Arial" w:cs="Arial"/>
        </w:rPr>
        <w:t>oit de PI en</w:t>
      </w:r>
      <w:r w:rsidR="005C5D68" w:rsidRPr="00536935">
        <w:rPr>
          <w:rFonts w:ascii="Arial" w:hAnsi="Arial" w:cs="Arial"/>
        </w:rPr>
        <w:t xml:space="preserve"> litige.</w:t>
      </w:r>
    </w:p>
    <w:p w:rsidR="00A4113E" w:rsidRPr="00536935" w:rsidRDefault="005C5D68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Lorsque le dr</w:t>
      </w:r>
      <w:r w:rsidR="003006F6" w:rsidRPr="00536935">
        <w:rPr>
          <w:rFonts w:ascii="Arial" w:hAnsi="Arial" w:cs="Arial"/>
        </w:rPr>
        <w:t xml:space="preserve">oit de PI en litige </w:t>
      </w:r>
      <w:r w:rsidR="00A91A53" w:rsidRPr="00536935">
        <w:rPr>
          <w:rFonts w:ascii="Arial" w:hAnsi="Arial" w:cs="Arial"/>
        </w:rPr>
        <w:t>f</w:t>
      </w:r>
      <w:r w:rsidR="00DF3368" w:rsidRPr="00536935">
        <w:rPr>
          <w:rFonts w:ascii="Arial" w:hAnsi="Arial" w:cs="Arial"/>
        </w:rPr>
        <w:t>ait</w:t>
      </w:r>
      <w:r w:rsidRPr="00536935">
        <w:rPr>
          <w:rFonts w:ascii="Arial" w:hAnsi="Arial" w:cs="Arial"/>
        </w:rPr>
        <w:t xml:space="preserve"> partie d’</w:t>
      </w:r>
      <w:r w:rsidR="000F63CA" w:rsidRPr="00536935">
        <w:rPr>
          <w:rFonts w:ascii="Arial" w:hAnsi="Arial" w:cs="Arial"/>
        </w:rPr>
        <w:t>un produit ou service à</w:t>
      </w:r>
      <w:r w:rsidRPr="00536935">
        <w:rPr>
          <w:rFonts w:ascii="Arial" w:hAnsi="Arial" w:cs="Arial"/>
        </w:rPr>
        <w:t xml:space="preserve"> composants multiples</w:t>
      </w:r>
      <w:r w:rsidR="000F63CA" w:rsidRPr="00536935">
        <w:rPr>
          <w:rFonts w:ascii="Arial" w:hAnsi="Arial" w:cs="Arial"/>
        </w:rPr>
        <w:t xml:space="preserve"> vendu par le contr</w:t>
      </w:r>
      <w:r w:rsidR="005365EE" w:rsidRPr="00536935">
        <w:rPr>
          <w:rFonts w:ascii="Arial" w:hAnsi="Arial" w:cs="Arial"/>
        </w:rPr>
        <w:t xml:space="preserve">efacteur, la valeur </w:t>
      </w:r>
      <w:r w:rsidR="00EB2459" w:rsidRPr="00536935">
        <w:rPr>
          <w:rFonts w:ascii="Arial" w:hAnsi="Arial" w:cs="Arial"/>
        </w:rPr>
        <w:t>à attribuer</w:t>
      </w:r>
      <w:r w:rsidR="005365EE" w:rsidRPr="00536935">
        <w:rPr>
          <w:rFonts w:ascii="Arial" w:hAnsi="Arial" w:cs="Arial"/>
        </w:rPr>
        <w:t xml:space="preserve"> à ce</w:t>
      </w:r>
      <w:r w:rsidR="000F63CA" w:rsidRPr="00536935">
        <w:rPr>
          <w:rFonts w:ascii="Arial" w:hAnsi="Arial" w:cs="Arial"/>
        </w:rPr>
        <w:t xml:space="preserve"> d</w:t>
      </w:r>
      <w:r w:rsidR="00EB2459" w:rsidRPr="00536935">
        <w:rPr>
          <w:rFonts w:ascii="Arial" w:hAnsi="Arial" w:cs="Arial"/>
        </w:rPr>
        <w:t>roit de PI</w:t>
      </w:r>
      <w:r w:rsidR="000F63CA" w:rsidRPr="00536935">
        <w:rPr>
          <w:rFonts w:ascii="Arial" w:hAnsi="Arial" w:cs="Arial"/>
        </w:rPr>
        <w:t xml:space="preserve"> (et l</w:t>
      </w:r>
      <w:r w:rsidR="00EB2459" w:rsidRPr="00536935">
        <w:rPr>
          <w:rFonts w:ascii="Arial" w:hAnsi="Arial" w:cs="Arial"/>
        </w:rPr>
        <w:t>’indemnisation par l</w:t>
      </w:r>
      <w:r w:rsidR="000F63CA" w:rsidRPr="00536935">
        <w:rPr>
          <w:rFonts w:ascii="Arial" w:hAnsi="Arial" w:cs="Arial"/>
        </w:rPr>
        <w:t xml:space="preserve">es </w:t>
      </w:r>
      <w:r w:rsidR="005365EE" w:rsidRPr="00536935">
        <w:rPr>
          <w:rFonts w:ascii="Arial" w:hAnsi="Arial" w:cs="Arial"/>
        </w:rPr>
        <w:t>gains manqués</w:t>
      </w:r>
      <w:r w:rsidR="00EB2459" w:rsidRPr="00536935">
        <w:rPr>
          <w:rFonts w:ascii="Arial" w:hAnsi="Arial" w:cs="Arial"/>
        </w:rPr>
        <w:t xml:space="preserve"> ou une</w:t>
      </w:r>
      <w:r w:rsidR="000F63CA" w:rsidRPr="00536935">
        <w:rPr>
          <w:rFonts w:ascii="Arial" w:hAnsi="Arial" w:cs="Arial"/>
        </w:rPr>
        <w:t xml:space="preserve"> </w:t>
      </w:r>
      <w:r w:rsidR="00EB2459" w:rsidRPr="00536935">
        <w:rPr>
          <w:rFonts w:ascii="Arial" w:hAnsi="Arial" w:cs="Arial"/>
        </w:rPr>
        <w:t>redevance raisonnable</w:t>
      </w:r>
      <w:r w:rsidR="000F63CA" w:rsidRPr="00536935">
        <w:rPr>
          <w:rFonts w:ascii="Arial" w:hAnsi="Arial" w:cs="Arial"/>
        </w:rPr>
        <w:t>)</w:t>
      </w:r>
      <w:r w:rsidR="005365EE" w:rsidRPr="00536935">
        <w:rPr>
          <w:rFonts w:ascii="Arial" w:hAnsi="Arial" w:cs="Arial"/>
        </w:rPr>
        <w:t xml:space="preserve"> </w:t>
      </w:r>
      <w:r w:rsidR="000F63CA" w:rsidRPr="00536935">
        <w:rPr>
          <w:rFonts w:ascii="Arial" w:hAnsi="Arial" w:cs="Arial"/>
        </w:rPr>
        <w:t xml:space="preserve">devrait être </w:t>
      </w:r>
      <w:r w:rsidR="00EB2459" w:rsidRPr="00536935">
        <w:rPr>
          <w:rFonts w:ascii="Arial" w:hAnsi="Arial" w:cs="Arial"/>
        </w:rPr>
        <w:t>appréciée par rapport à</w:t>
      </w:r>
      <w:r w:rsidR="000F63CA" w:rsidRPr="00536935">
        <w:rPr>
          <w:rFonts w:ascii="Arial" w:hAnsi="Arial" w:cs="Arial"/>
        </w:rPr>
        <w:t xml:space="preserve"> </w:t>
      </w:r>
      <w:r w:rsidR="005365EE" w:rsidRPr="00536935">
        <w:rPr>
          <w:rFonts w:ascii="Arial" w:hAnsi="Arial" w:cs="Arial"/>
        </w:rPr>
        <w:t xml:space="preserve">l’importance </w:t>
      </w:r>
      <w:r w:rsidR="00EB2459" w:rsidRPr="00536935">
        <w:rPr>
          <w:rFonts w:ascii="Arial" w:hAnsi="Arial" w:cs="Arial"/>
        </w:rPr>
        <w:t xml:space="preserve">des composants contrefaisants pour fonder la demande du consommateur </w:t>
      </w:r>
      <w:r w:rsidR="00A91A53" w:rsidRPr="00536935">
        <w:rPr>
          <w:rFonts w:ascii="Arial" w:hAnsi="Arial" w:cs="Arial"/>
        </w:rPr>
        <w:t>de</w:t>
      </w:r>
      <w:r w:rsidR="000F63CA" w:rsidRPr="00536935">
        <w:rPr>
          <w:rFonts w:ascii="Arial" w:hAnsi="Arial" w:cs="Arial"/>
        </w:rPr>
        <w:t xml:space="preserve"> ce produit ou service à composants multiples.</w:t>
      </w:r>
    </w:p>
    <w:p w:rsidR="00A4113E" w:rsidRPr="00536935" w:rsidRDefault="00A4113E" w:rsidP="00053CF9">
      <w:pPr>
        <w:pStyle w:val="ListParagraph"/>
        <w:jc w:val="both"/>
        <w:rPr>
          <w:rFonts w:ascii="Arial" w:hAnsi="Arial" w:cs="Arial"/>
        </w:rPr>
      </w:pPr>
    </w:p>
    <w:p w:rsidR="00A4113E" w:rsidRPr="00536935" w:rsidRDefault="00EB2459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 xml:space="preserve">Pour </w:t>
      </w:r>
      <w:r w:rsidR="00CE2787" w:rsidRPr="00536935">
        <w:rPr>
          <w:rFonts w:ascii="Arial" w:hAnsi="Arial" w:cs="Arial"/>
        </w:rPr>
        <w:t>évaluer les gains manqués</w:t>
      </w:r>
      <w:r w:rsidR="00B52040" w:rsidRPr="00536935">
        <w:rPr>
          <w:rFonts w:ascii="Arial" w:hAnsi="Arial" w:cs="Arial"/>
          <w:b/>
        </w:rPr>
        <w:t xml:space="preserve">, </w:t>
      </w:r>
      <w:r w:rsidR="00B52040" w:rsidRPr="00536935">
        <w:rPr>
          <w:rFonts w:ascii="Arial" w:hAnsi="Arial" w:cs="Arial"/>
        </w:rPr>
        <w:t>l’attention devrait</w:t>
      </w:r>
      <w:r w:rsidR="00B52040" w:rsidRPr="00536935">
        <w:rPr>
          <w:rFonts w:ascii="Arial" w:hAnsi="Arial" w:cs="Arial"/>
          <w:b/>
        </w:rPr>
        <w:t xml:space="preserve"> </w:t>
      </w:r>
      <w:r w:rsidR="00B52040" w:rsidRPr="00536935">
        <w:rPr>
          <w:rFonts w:ascii="Arial" w:hAnsi="Arial" w:cs="Arial"/>
        </w:rPr>
        <w:t xml:space="preserve">porter </w:t>
      </w:r>
      <w:r w:rsidR="00CE2787" w:rsidRPr="00536935">
        <w:rPr>
          <w:rFonts w:ascii="Arial" w:hAnsi="Arial" w:cs="Arial"/>
        </w:rPr>
        <w:t>sur la valeur ac</w:t>
      </w:r>
      <w:r w:rsidR="00B52040" w:rsidRPr="00536935">
        <w:rPr>
          <w:rFonts w:ascii="Arial" w:hAnsi="Arial" w:cs="Arial"/>
        </w:rPr>
        <w:t>tuelle des pertes futur</w:t>
      </w:r>
      <w:r w:rsidR="00CE2787" w:rsidRPr="00536935">
        <w:rPr>
          <w:rFonts w:ascii="Arial" w:hAnsi="Arial" w:cs="Arial"/>
        </w:rPr>
        <w:t>es</w:t>
      </w:r>
      <w:r w:rsidR="00B52040" w:rsidRPr="00536935">
        <w:rPr>
          <w:rFonts w:ascii="Arial" w:hAnsi="Arial" w:cs="Arial"/>
        </w:rPr>
        <w:t xml:space="preserve"> qui seront subies</w:t>
      </w:r>
      <w:r w:rsidR="00CE2787" w:rsidRPr="00536935">
        <w:rPr>
          <w:rFonts w:ascii="Arial" w:hAnsi="Arial" w:cs="Arial"/>
        </w:rPr>
        <w:t xml:space="preserve"> par le titulaire d</w:t>
      </w:r>
      <w:r w:rsidR="00DF3368" w:rsidRPr="00536935">
        <w:rPr>
          <w:rFonts w:ascii="Arial" w:hAnsi="Arial" w:cs="Arial"/>
        </w:rPr>
        <w:t>u</w:t>
      </w:r>
      <w:r w:rsidR="00CE2787" w:rsidRPr="00536935">
        <w:rPr>
          <w:rFonts w:ascii="Arial" w:hAnsi="Arial" w:cs="Arial"/>
        </w:rPr>
        <w:t xml:space="preserve"> droit après la date d’octroi des</w:t>
      </w:r>
      <w:r w:rsidR="00B52040" w:rsidRPr="00536935">
        <w:rPr>
          <w:rFonts w:ascii="Arial" w:hAnsi="Arial" w:cs="Arial"/>
        </w:rPr>
        <w:t xml:space="preserve"> dommages. Le simple fait qu’une </w:t>
      </w:r>
      <w:r w:rsidR="00CE2787" w:rsidRPr="00536935">
        <w:rPr>
          <w:rFonts w:ascii="Arial" w:hAnsi="Arial" w:cs="Arial"/>
        </w:rPr>
        <w:t>in</w:t>
      </w:r>
      <w:r w:rsidR="00B52040" w:rsidRPr="00536935">
        <w:rPr>
          <w:rFonts w:ascii="Arial" w:hAnsi="Arial" w:cs="Arial"/>
        </w:rPr>
        <w:t>jonction soit aussi prononcée</w:t>
      </w:r>
      <w:r w:rsidR="00CE2787" w:rsidRPr="00536935">
        <w:rPr>
          <w:rFonts w:ascii="Arial" w:hAnsi="Arial" w:cs="Arial"/>
        </w:rPr>
        <w:t xml:space="preserve"> en complément de</w:t>
      </w:r>
      <w:r w:rsidR="00B52040" w:rsidRPr="00536935">
        <w:rPr>
          <w:rFonts w:ascii="Arial" w:hAnsi="Arial" w:cs="Arial"/>
        </w:rPr>
        <w:t>s</w:t>
      </w:r>
      <w:r w:rsidR="00CE2787" w:rsidRPr="00536935">
        <w:rPr>
          <w:rFonts w:ascii="Arial" w:hAnsi="Arial" w:cs="Arial"/>
        </w:rPr>
        <w:t xml:space="preserve"> dommages ne signifie pas qu’il n’y aura</w:t>
      </w:r>
      <w:r w:rsidR="00B52040" w:rsidRPr="00536935">
        <w:rPr>
          <w:rFonts w:ascii="Arial" w:hAnsi="Arial" w:cs="Arial"/>
        </w:rPr>
        <w:t xml:space="preserve"> pas de pertes futures</w:t>
      </w:r>
      <w:r w:rsidR="00CE2787" w:rsidRPr="00536935">
        <w:rPr>
          <w:rFonts w:ascii="Arial" w:hAnsi="Arial" w:cs="Arial"/>
        </w:rPr>
        <w:t>.</w:t>
      </w:r>
    </w:p>
    <w:p w:rsidR="00CE2787" w:rsidRPr="00536935" w:rsidRDefault="00CE2787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B52040" w:rsidRPr="00536935">
        <w:rPr>
          <w:rFonts w:ascii="Arial" w:hAnsi="Arial" w:cs="Arial"/>
        </w:rPr>
        <w:t>orsqu’une injonction est prononcée, les pertes futures peuvent résulter de</w:t>
      </w:r>
      <w:r w:rsidRPr="00536935">
        <w:rPr>
          <w:rFonts w:ascii="Arial" w:hAnsi="Arial" w:cs="Arial"/>
        </w:rPr>
        <w:t xml:space="preserve"> : </w:t>
      </w:r>
    </w:p>
    <w:p w:rsidR="00CE2787" w:rsidRPr="00536935" w:rsidRDefault="00B52040" w:rsidP="00EA568F">
      <w:pPr>
        <w:pStyle w:val="ListParagraph"/>
        <w:numPr>
          <w:ilvl w:val="0"/>
          <w:numId w:val="1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u</w:t>
      </w:r>
      <w:r w:rsidR="00CE2787" w:rsidRPr="00536935">
        <w:rPr>
          <w:rFonts w:ascii="Arial" w:hAnsi="Arial" w:cs="Arial"/>
        </w:rPr>
        <w:t xml:space="preserve">ne chute </w:t>
      </w:r>
      <w:r w:rsidRPr="00536935">
        <w:rPr>
          <w:rFonts w:ascii="Arial" w:hAnsi="Arial" w:cs="Arial"/>
        </w:rPr>
        <w:t>des prix ;</w:t>
      </w:r>
      <w:r w:rsidR="00A97EF6" w:rsidRPr="00536935">
        <w:rPr>
          <w:rFonts w:ascii="Arial" w:hAnsi="Arial" w:cs="Arial"/>
        </w:rPr>
        <w:t xml:space="preserve"> et/ou</w:t>
      </w:r>
    </w:p>
    <w:p w:rsidR="00CE2787" w:rsidRPr="00536935" w:rsidRDefault="00B52040" w:rsidP="00EA568F">
      <w:pPr>
        <w:pStyle w:val="ListParagraph"/>
        <w:numPr>
          <w:ilvl w:val="0"/>
          <w:numId w:val="1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u</w:t>
      </w:r>
      <w:r w:rsidR="00CE2787" w:rsidRPr="00536935">
        <w:rPr>
          <w:rFonts w:ascii="Arial" w:hAnsi="Arial" w:cs="Arial"/>
        </w:rPr>
        <w:t>ne perte de parts de marché</w:t>
      </w:r>
      <w:r w:rsidRPr="00536935">
        <w:rPr>
          <w:rFonts w:ascii="Arial" w:hAnsi="Arial" w:cs="Arial"/>
        </w:rPr>
        <w:t> ; et/ou</w:t>
      </w:r>
    </w:p>
    <w:p w:rsidR="00A4113E" w:rsidRPr="00536935" w:rsidRDefault="00B52040" w:rsidP="00EA568F">
      <w:pPr>
        <w:pStyle w:val="ListParagraph"/>
        <w:numPr>
          <w:ilvl w:val="0"/>
          <w:numId w:val="1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CE2787" w:rsidRPr="00536935">
        <w:rPr>
          <w:rFonts w:ascii="Arial" w:hAnsi="Arial" w:cs="Arial"/>
        </w:rPr>
        <w:t>e tem</w:t>
      </w:r>
      <w:r w:rsidRPr="00536935">
        <w:rPr>
          <w:rFonts w:ascii="Arial" w:hAnsi="Arial" w:cs="Arial"/>
        </w:rPr>
        <w:t>ps nécessaire pour redonner au marché sa</w:t>
      </w:r>
      <w:r w:rsidR="00CE2787" w:rsidRPr="00536935">
        <w:rPr>
          <w:rFonts w:ascii="Arial" w:hAnsi="Arial" w:cs="Arial"/>
        </w:rPr>
        <w:t xml:space="preserve"> pro</w:t>
      </w:r>
      <w:r w:rsidRPr="00536935">
        <w:rPr>
          <w:rFonts w:ascii="Arial" w:hAnsi="Arial" w:cs="Arial"/>
        </w:rPr>
        <w:t>fitabilité antérieure à la période de</w:t>
      </w:r>
      <w:r w:rsidR="00EA568F">
        <w:rPr>
          <w:rFonts w:ascii="Arial" w:hAnsi="Arial" w:cs="Arial"/>
        </w:rPr>
        <w:t xml:space="preserve"> </w:t>
      </w:r>
      <w:r w:rsidR="00705D91" w:rsidRPr="00536935">
        <w:rPr>
          <w:rFonts w:ascii="Arial" w:hAnsi="Arial" w:cs="Arial"/>
        </w:rPr>
        <w:t>contrefaçon</w:t>
      </w:r>
      <w:r w:rsidR="00A91A53" w:rsidRPr="00536935">
        <w:rPr>
          <w:rFonts w:ascii="Arial" w:hAnsi="Arial" w:cs="Arial"/>
        </w:rPr>
        <w:t>.</w:t>
      </w:r>
    </w:p>
    <w:p w:rsidR="00705D91" w:rsidRPr="00536935" w:rsidRDefault="00705D91" w:rsidP="00EA568F">
      <w:pPr>
        <w:spacing w:after="240" w:line="240" w:lineRule="auto"/>
        <w:ind w:left="72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Lorsqu</w:t>
      </w:r>
      <w:r w:rsidR="00B52040" w:rsidRPr="00536935">
        <w:rPr>
          <w:rFonts w:ascii="Arial" w:hAnsi="Arial" w:cs="Arial"/>
        </w:rPr>
        <w:t>’aucune injonction n’est prononcé</w:t>
      </w:r>
      <w:r w:rsidRPr="00536935">
        <w:rPr>
          <w:rFonts w:ascii="Arial" w:hAnsi="Arial" w:cs="Arial"/>
        </w:rPr>
        <w:t>e, le</w:t>
      </w:r>
      <w:r w:rsidR="00B52040" w:rsidRPr="00536935">
        <w:rPr>
          <w:rFonts w:ascii="Arial" w:hAnsi="Arial" w:cs="Arial"/>
        </w:rPr>
        <w:t>s pert</w:t>
      </w:r>
      <w:r w:rsidR="00C36256" w:rsidRPr="00536935">
        <w:rPr>
          <w:rFonts w:ascii="Arial" w:hAnsi="Arial" w:cs="Arial"/>
        </w:rPr>
        <w:t>es futures pourront résulter de a) et b), mais pas de</w:t>
      </w:r>
      <w:r w:rsidRPr="00536935">
        <w:rPr>
          <w:rFonts w:ascii="Arial" w:hAnsi="Arial" w:cs="Arial"/>
        </w:rPr>
        <w:t xml:space="preserve"> c).</w:t>
      </w:r>
    </w:p>
    <w:p w:rsidR="00A4113E" w:rsidRPr="00536935" w:rsidRDefault="00C36256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Pour évaluer une redevance raisonnable</w:t>
      </w:r>
      <w:r w:rsidR="00705D91" w:rsidRPr="00536935">
        <w:rPr>
          <w:rFonts w:ascii="Arial" w:hAnsi="Arial" w:cs="Arial"/>
        </w:rPr>
        <w:t xml:space="preserve"> lorsqu</w:t>
      </w:r>
      <w:r w:rsidRPr="00536935">
        <w:rPr>
          <w:rFonts w:ascii="Arial" w:hAnsi="Arial" w:cs="Arial"/>
        </w:rPr>
        <w:t>’aucune injonction n’est prononcé</w:t>
      </w:r>
      <w:r w:rsidR="00705D91" w:rsidRPr="00536935">
        <w:rPr>
          <w:rFonts w:ascii="Arial" w:hAnsi="Arial" w:cs="Arial"/>
        </w:rPr>
        <w:t xml:space="preserve">e, </w:t>
      </w:r>
      <w:r w:rsidRPr="00536935">
        <w:rPr>
          <w:rFonts w:ascii="Arial" w:hAnsi="Arial" w:cs="Arial"/>
        </w:rPr>
        <w:t xml:space="preserve">la redevance devrait inclure une redevance pour les éventuelles </w:t>
      </w:r>
      <w:r w:rsidR="00A4113E" w:rsidRPr="00536935">
        <w:rPr>
          <w:rFonts w:ascii="Arial" w:hAnsi="Arial" w:cs="Arial"/>
        </w:rPr>
        <w:t>futures contrefaçons.</w:t>
      </w:r>
    </w:p>
    <w:p w:rsidR="00705D91" w:rsidRDefault="0097413D" w:rsidP="00EA568F">
      <w:pPr>
        <w:pStyle w:val="ListParagraph"/>
        <w:numPr>
          <w:ilvl w:val="0"/>
          <w:numId w:val="4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L</w:t>
      </w:r>
      <w:r w:rsidR="00705D91" w:rsidRPr="00536935">
        <w:rPr>
          <w:rFonts w:ascii="Arial" w:hAnsi="Arial" w:cs="Arial"/>
        </w:rPr>
        <w:t>es principes liés à la quant</w:t>
      </w:r>
      <w:r w:rsidR="00C36256" w:rsidRPr="00536935">
        <w:rPr>
          <w:rFonts w:ascii="Arial" w:hAnsi="Arial" w:cs="Arial"/>
        </w:rPr>
        <w:t>ification des dommages expos</w:t>
      </w:r>
      <w:r w:rsidR="00705D91" w:rsidRPr="00536935">
        <w:rPr>
          <w:rFonts w:ascii="Arial" w:hAnsi="Arial" w:cs="Arial"/>
        </w:rPr>
        <w:t>és dans cette Résolution devraient s’appliquer a</w:t>
      </w:r>
      <w:r w:rsidR="00C36256" w:rsidRPr="00536935">
        <w:rPr>
          <w:rFonts w:ascii="Arial" w:hAnsi="Arial" w:cs="Arial"/>
        </w:rPr>
        <w:t>ux actions en contrefaçon engagées par un propriétaire</w:t>
      </w:r>
      <w:r w:rsidR="00705D91" w:rsidRPr="00536935">
        <w:rPr>
          <w:rFonts w:ascii="Arial" w:hAnsi="Arial" w:cs="Arial"/>
        </w:rPr>
        <w:t xml:space="preserve"> de dr</w:t>
      </w:r>
      <w:r w:rsidR="00C36256" w:rsidRPr="00536935">
        <w:rPr>
          <w:rFonts w:ascii="Arial" w:hAnsi="Arial" w:cs="Arial"/>
        </w:rPr>
        <w:t>oits de PI et par tout licencié de celui-ci</w:t>
      </w:r>
      <w:r w:rsidR="00CC1EC6" w:rsidRPr="00536935">
        <w:rPr>
          <w:rFonts w:ascii="Arial" w:hAnsi="Arial" w:cs="Arial"/>
        </w:rPr>
        <w:t>, pour autant que ce</w:t>
      </w:r>
      <w:r w:rsidR="00C36256" w:rsidRPr="00536935">
        <w:rPr>
          <w:rFonts w:ascii="Arial" w:hAnsi="Arial" w:cs="Arial"/>
        </w:rPr>
        <w:t xml:space="preserve"> licencié soit recevable </w:t>
      </w:r>
      <w:r w:rsidR="00CC1EC6" w:rsidRPr="00536935">
        <w:rPr>
          <w:rFonts w:ascii="Arial" w:hAnsi="Arial" w:cs="Arial"/>
        </w:rPr>
        <w:t>à agir en contrefaçon</w:t>
      </w:r>
      <w:r w:rsidRPr="00536935">
        <w:rPr>
          <w:rFonts w:ascii="Arial" w:hAnsi="Arial" w:cs="Arial"/>
        </w:rPr>
        <w:t xml:space="preserve"> ou à intervenir </w:t>
      </w:r>
      <w:r w:rsidR="00053CF9" w:rsidRPr="00536935">
        <w:rPr>
          <w:rFonts w:ascii="Arial" w:hAnsi="Arial" w:cs="Arial"/>
        </w:rPr>
        <w:t xml:space="preserve">dans une </w:t>
      </w:r>
      <w:r w:rsidRPr="00536935">
        <w:rPr>
          <w:rFonts w:ascii="Arial" w:hAnsi="Arial" w:cs="Arial"/>
        </w:rPr>
        <w:t>action en contrefaçon</w:t>
      </w:r>
      <w:r w:rsidR="00CC1EC6" w:rsidRPr="00536935">
        <w:rPr>
          <w:rFonts w:ascii="Arial" w:hAnsi="Arial" w:cs="Arial"/>
        </w:rPr>
        <w:t>. Cependant, lors</w:t>
      </w:r>
      <w:r w:rsidR="00C36256" w:rsidRPr="00536935">
        <w:rPr>
          <w:rFonts w:ascii="Arial" w:hAnsi="Arial" w:cs="Arial"/>
        </w:rPr>
        <w:t>que les intérêts du propriétaire des</w:t>
      </w:r>
      <w:r w:rsidR="00CC1EC6" w:rsidRPr="00536935">
        <w:rPr>
          <w:rFonts w:ascii="Arial" w:hAnsi="Arial" w:cs="Arial"/>
        </w:rPr>
        <w:t xml:space="preserve"> droit</w:t>
      </w:r>
      <w:r w:rsidR="00C36256" w:rsidRPr="00536935">
        <w:rPr>
          <w:rFonts w:ascii="Arial" w:hAnsi="Arial" w:cs="Arial"/>
        </w:rPr>
        <w:t>s</w:t>
      </w:r>
      <w:r w:rsidR="00CC1EC6" w:rsidRPr="00536935">
        <w:rPr>
          <w:rFonts w:ascii="Arial" w:hAnsi="Arial" w:cs="Arial"/>
        </w:rPr>
        <w:t xml:space="preserve"> divergent de ceux du licenci</w:t>
      </w:r>
      <w:r w:rsidR="005365EE" w:rsidRPr="00536935">
        <w:rPr>
          <w:rFonts w:ascii="Arial" w:hAnsi="Arial" w:cs="Arial"/>
        </w:rPr>
        <w:t xml:space="preserve">é, </w:t>
      </w:r>
      <w:r w:rsidR="00A97EF6" w:rsidRPr="00536935">
        <w:rPr>
          <w:rFonts w:ascii="Arial" w:hAnsi="Arial" w:cs="Arial"/>
        </w:rPr>
        <w:t>la quantification de tout dommage en résultant devrait refléter cette situation</w:t>
      </w:r>
      <w:r w:rsidR="00CC1EC6" w:rsidRPr="00536935">
        <w:rPr>
          <w:rFonts w:ascii="Arial" w:hAnsi="Arial" w:cs="Arial"/>
        </w:rPr>
        <w:t>.</w:t>
      </w:r>
    </w:p>
    <w:p w:rsidR="0092659E" w:rsidRDefault="0092659E" w:rsidP="0092659E">
      <w:pPr>
        <w:spacing w:after="0" w:line="240" w:lineRule="auto"/>
        <w:jc w:val="both"/>
        <w:rPr>
          <w:rFonts w:ascii="Arial" w:hAnsi="Arial" w:cs="Arial"/>
        </w:rPr>
      </w:pPr>
    </w:p>
    <w:p w:rsidR="0092659E" w:rsidRPr="0092659E" w:rsidRDefault="0092659E" w:rsidP="0092659E">
      <w:pPr>
        <w:spacing w:after="0" w:line="240" w:lineRule="auto"/>
        <w:jc w:val="both"/>
        <w:rPr>
          <w:rFonts w:ascii="Arial" w:hAnsi="Arial" w:cs="Arial"/>
        </w:rPr>
      </w:pPr>
    </w:p>
    <w:p w:rsidR="00031FAB" w:rsidRPr="00536935" w:rsidRDefault="00CC1EC6" w:rsidP="00031FAB">
      <w:pPr>
        <w:spacing w:after="0" w:line="240" w:lineRule="auto"/>
        <w:rPr>
          <w:rFonts w:ascii="Arial" w:hAnsi="Arial" w:cs="Arial"/>
          <w:b/>
          <w:lang w:val="en-GB"/>
        </w:rPr>
      </w:pPr>
      <w:r w:rsidRPr="00536935">
        <w:rPr>
          <w:rFonts w:ascii="Arial" w:hAnsi="Arial" w:cs="Arial"/>
          <w:b/>
        </w:rPr>
        <w:t xml:space="preserve">Liens : </w:t>
      </w:r>
    </w:p>
    <w:p w:rsidR="00031FAB" w:rsidRPr="00536935" w:rsidRDefault="00031FAB" w:rsidP="00053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 w:rsidRPr="00536935">
        <w:rPr>
          <w:rFonts w:ascii="Arial" w:hAnsi="Arial" w:cs="Arial"/>
          <w:lang w:val="en-GB"/>
        </w:rPr>
        <w:t>Lignes</w:t>
      </w:r>
      <w:proofErr w:type="spellEnd"/>
      <w:r w:rsidRPr="00536935">
        <w:rPr>
          <w:rFonts w:ascii="Arial" w:hAnsi="Arial" w:cs="Arial"/>
          <w:lang w:val="en-GB"/>
        </w:rPr>
        <w:t xml:space="preserve"> </w:t>
      </w:r>
      <w:proofErr w:type="spellStart"/>
      <w:r w:rsidRPr="00536935">
        <w:rPr>
          <w:rFonts w:ascii="Arial" w:hAnsi="Arial" w:cs="Arial"/>
          <w:lang w:val="en-GB"/>
        </w:rPr>
        <w:t>directrices</w:t>
      </w:r>
      <w:proofErr w:type="spellEnd"/>
    </w:p>
    <w:p w:rsidR="00031FAB" w:rsidRPr="00536935" w:rsidRDefault="00B01D9B" w:rsidP="00053C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en-GB"/>
        </w:rPr>
      </w:pPr>
      <w:r w:rsidRPr="00536935">
        <w:rPr>
          <w:rFonts w:ascii="Arial" w:hAnsi="Arial" w:cs="Arial"/>
        </w:rPr>
        <w:fldChar w:fldCharType="begin"/>
      </w:r>
      <w:r w:rsidRPr="00536935">
        <w:rPr>
          <w:rFonts w:ascii="Arial" w:hAnsi="Arial" w:cs="Arial"/>
          <w:lang w:val="en-GB"/>
          <w:rPrChange w:id="0" w:author="Gladys Korval" w:date="2017-10-31T17:22:00Z">
            <w:rPr/>
          </w:rPrChange>
        </w:rPr>
        <w:instrText xml:space="preserve"> HYPERLINK "http://aippi.org/wp-content/uploads/2017/01/FINAL-website-version-Quantification-of-monetary-relief.pdf" </w:instrText>
      </w:r>
      <w:r w:rsidRPr="00536935">
        <w:rPr>
          <w:rFonts w:ascii="Arial" w:hAnsi="Arial" w:cs="Arial"/>
        </w:rPr>
        <w:fldChar w:fldCharType="separate"/>
      </w:r>
      <w:r w:rsidR="00031FAB" w:rsidRPr="00536935">
        <w:rPr>
          <w:rStyle w:val="Hyperlink"/>
          <w:rFonts w:ascii="Arial" w:hAnsi="Arial" w:cs="Arial"/>
          <w:lang w:val="en-GB"/>
        </w:rPr>
        <w:t>http://aippi.org/wp-content/uploads/2017/01/FINAL-website-version-Quantification-of-monetary-relief.pdf</w:t>
      </w:r>
      <w:r w:rsidRPr="00536935">
        <w:rPr>
          <w:rStyle w:val="Hyperlink"/>
          <w:rFonts w:ascii="Arial" w:hAnsi="Arial" w:cs="Arial"/>
          <w:lang w:val="en-GB"/>
        </w:rPr>
        <w:fldChar w:fldCharType="end"/>
      </w:r>
    </w:p>
    <w:p w:rsidR="00031FAB" w:rsidRPr="00536935" w:rsidRDefault="00031FAB" w:rsidP="00053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536935">
        <w:rPr>
          <w:rFonts w:ascii="Arial" w:hAnsi="Arial" w:cs="Arial"/>
          <w:lang w:val="en-GB"/>
        </w:rPr>
        <w:t xml:space="preserve">Rapport de </w:t>
      </w:r>
      <w:proofErr w:type="spellStart"/>
      <w:r w:rsidRPr="00536935">
        <w:rPr>
          <w:rFonts w:ascii="Arial" w:hAnsi="Arial" w:cs="Arial"/>
          <w:lang w:val="en-GB"/>
        </w:rPr>
        <w:t>synthèse</w:t>
      </w:r>
      <w:proofErr w:type="spellEnd"/>
      <w:r w:rsidRPr="00536935">
        <w:rPr>
          <w:rFonts w:ascii="Arial" w:hAnsi="Arial" w:cs="Arial"/>
          <w:lang w:val="en-GB"/>
        </w:rPr>
        <w:t xml:space="preserve"> </w:t>
      </w:r>
    </w:p>
    <w:p w:rsidR="00031FAB" w:rsidRPr="00536935" w:rsidRDefault="00B01D9B" w:rsidP="00053C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lang w:val="en-GB"/>
        </w:rPr>
      </w:pPr>
      <w:r w:rsidRPr="00536935">
        <w:rPr>
          <w:rFonts w:ascii="Arial" w:hAnsi="Arial" w:cs="Arial"/>
        </w:rPr>
        <w:fldChar w:fldCharType="begin"/>
      </w:r>
      <w:r w:rsidRPr="00536935">
        <w:rPr>
          <w:rFonts w:ascii="Arial" w:hAnsi="Arial" w:cs="Arial"/>
          <w:lang w:val="en-GB"/>
          <w:rPrChange w:id="1" w:author="Gladys Korval" w:date="2017-10-31T17:22:00Z">
            <w:rPr/>
          </w:rPrChange>
        </w:rPr>
        <w:instrText xml:space="preserve"> HYPERLINK "http://aippi.org/wp-content/uploads/2017/08/Summary-Report-Quantification-of-monetary-relief_16August2017.pdf" </w:instrText>
      </w:r>
      <w:r w:rsidRPr="00536935">
        <w:rPr>
          <w:rFonts w:ascii="Arial" w:hAnsi="Arial" w:cs="Arial"/>
        </w:rPr>
        <w:fldChar w:fldCharType="separate"/>
      </w:r>
      <w:r w:rsidR="00031FAB" w:rsidRPr="00536935">
        <w:rPr>
          <w:rStyle w:val="Hyperlink"/>
          <w:rFonts w:ascii="Arial" w:hAnsi="Arial" w:cs="Arial"/>
          <w:lang w:val="en-GB"/>
        </w:rPr>
        <w:t>http://aippi.org/wp-content/uploads/2017/08/Summary-Report-Quantification-of-monetary-relief_16August2017.pdf</w:t>
      </w:r>
      <w:r w:rsidRPr="00536935">
        <w:rPr>
          <w:rStyle w:val="Hyperlink"/>
          <w:rFonts w:ascii="Arial" w:hAnsi="Arial" w:cs="Arial"/>
          <w:lang w:val="en-GB"/>
        </w:rPr>
        <w:fldChar w:fldCharType="end"/>
      </w:r>
    </w:p>
    <w:p w:rsidR="00031FAB" w:rsidRPr="00536935" w:rsidRDefault="00031FAB" w:rsidP="00053C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536935">
        <w:rPr>
          <w:rFonts w:ascii="Arial" w:hAnsi="Arial" w:cs="Arial"/>
        </w:rPr>
        <w:t>Rapports des Groupes Nationaux et Régionaux et des Membres Indépendants</w:t>
      </w:r>
    </w:p>
    <w:p w:rsidR="00031FAB" w:rsidRPr="00536935" w:rsidRDefault="00B01D9B" w:rsidP="00053CF9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hyperlink r:id="rId8" w:history="1">
        <w:r w:rsidR="00031FAB" w:rsidRPr="00536935">
          <w:rPr>
            <w:rStyle w:val="Hyperlink"/>
            <w:rFonts w:ascii="Arial" w:hAnsi="Arial" w:cs="Arial"/>
          </w:rPr>
          <w:t>http://aippi.org/committee/quantification-of-monetary-relief/</w:t>
        </w:r>
      </w:hyperlink>
    </w:p>
    <w:sectPr w:rsidR="00031FAB" w:rsidRPr="00536935" w:rsidSect="00EA568F"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A43"/>
    <w:multiLevelType w:val="hybridMultilevel"/>
    <w:tmpl w:val="6AB2C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968C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04F"/>
    <w:multiLevelType w:val="hybridMultilevel"/>
    <w:tmpl w:val="A7D416B4"/>
    <w:lvl w:ilvl="0" w:tplc="6E9CE9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7D4"/>
    <w:multiLevelType w:val="hybridMultilevel"/>
    <w:tmpl w:val="C8420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366F"/>
    <w:multiLevelType w:val="hybridMultilevel"/>
    <w:tmpl w:val="0FD4A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67ED"/>
    <w:multiLevelType w:val="hybridMultilevel"/>
    <w:tmpl w:val="89F28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4150C2"/>
    <w:multiLevelType w:val="hybridMultilevel"/>
    <w:tmpl w:val="DBAE58C0"/>
    <w:lvl w:ilvl="0" w:tplc="E6CA76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C0A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70CE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EA5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00FF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226C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286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94F8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D2C4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A90F60"/>
    <w:multiLevelType w:val="hybridMultilevel"/>
    <w:tmpl w:val="1B70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D23EF"/>
    <w:multiLevelType w:val="hybridMultilevel"/>
    <w:tmpl w:val="89F28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451D0B"/>
    <w:multiLevelType w:val="hybridMultilevel"/>
    <w:tmpl w:val="C8D88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968C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A5834"/>
    <w:multiLevelType w:val="hybridMultilevel"/>
    <w:tmpl w:val="89F28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920685"/>
    <w:multiLevelType w:val="hybridMultilevel"/>
    <w:tmpl w:val="754E9ED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AF"/>
    <w:rsid w:val="0000292C"/>
    <w:rsid w:val="0002268A"/>
    <w:rsid w:val="00023C54"/>
    <w:rsid w:val="00031FAB"/>
    <w:rsid w:val="00053CF9"/>
    <w:rsid w:val="00084ADA"/>
    <w:rsid w:val="000B3B98"/>
    <w:rsid w:val="000C2843"/>
    <w:rsid w:val="000D260B"/>
    <w:rsid w:val="000F63CA"/>
    <w:rsid w:val="000F6628"/>
    <w:rsid w:val="00103F21"/>
    <w:rsid w:val="001351AF"/>
    <w:rsid w:val="0017130E"/>
    <w:rsid w:val="001A42B3"/>
    <w:rsid w:val="001E6CE7"/>
    <w:rsid w:val="001F02FC"/>
    <w:rsid w:val="002227CC"/>
    <w:rsid w:val="00272A92"/>
    <w:rsid w:val="002A13C8"/>
    <w:rsid w:val="003006F6"/>
    <w:rsid w:val="00314257"/>
    <w:rsid w:val="003B10B4"/>
    <w:rsid w:val="003B6AB2"/>
    <w:rsid w:val="003B787D"/>
    <w:rsid w:val="003C5C42"/>
    <w:rsid w:val="003F37C3"/>
    <w:rsid w:val="003F4BCC"/>
    <w:rsid w:val="00412D4B"/>
    <w:rsid w:val="004967A2"/>
    <w:rsid w:val="004B368D"/>
    <w:rsid w:val="00505BA9"/>
    <w:rsid w:val="00515C63"/>
    <w:rsid w:val="005357D7"/>
    <w:rsid w:val="005365EE"/>
    <w:rsid w:val="00536935"/>
    <w:rsid w:val="0055062B"/>
    <w:rsid w:val="005720C8"/>
    <w:rsid w:val="005740B8"/>
    <w:rsid w:val="00580665"/>
    <w:rsid w:val="005C497E"/>
    <w:rsid w:val="005C5D68"/>
    <w:rsid w:val="005D41AC"/>
    <w:rsid w:val="0061745D"/>
    <w:rsid w:val="00654700"/>
    <w:rsid w:val="00665111"/>
    <w:rsid w:val="00697D63"/>
    <w:rsid w:val="006A4095"/>
    <w:rsid w:val="00701475"/>
    <w:rsid w:val="00705D91"/>
    <w:rsid w:val="0071122F"/>
    <w:rsid w:val="00711AA6"/>
    <w:rsid w:val="0071549F"/>
    <w:rsid w:val="00782351"/>
    <w:rsid w:val="007D383F"/>
    <w:rsid w:val="00807CB1"/>
    <w:rsid w:val="0081072D"/>
    <w:rsid w:val="008355E0"/>
    <w:rsid w:val="00871DC7"/>
    <w:rsid w:val="008767C1"/>
    <w:rsid w:val="00890E02"/>
    <w:rsid w:val="008B35A6"/>
    <w:rsid w:val="008B4ED6"/>
    <w:rsid w:val="008D4945"/>
    <w:rsid w:val="008E0459"/>
    <w:rsid w:val="008E6301"/>
    <w:rsid w:val="00903381"/>
    <w:rsid w:val="0092659E"/>
    <w:rsid w:val="0097413D"/>
    <w:rsid w:val="00992413"/>
    <w:rsid w:val="009E6B02"/>
    <w:rsid w:val="00A01A42"/>
    <w:rsid w:val="00A4113E"/>
    <w:rsid w:val="00A60858"/>
    <w:rsid w:val="00A91A53"/>
    <w:rsid w:val="00A97EF6"/>
    <w:rsid w:val="00AA0B11"/>
    <w:rsid w:val="00AE41EC"/>
    <w:rsid w:val="00B02C5B"/>
    <w:rsid w:val="00B044B5"/>
    <w:rsid w:val="00B52040"/>
    <w:rsid w:val="00B641CD"/>
    <w:rsid w:val="00B7154E"/>
    <w:rsid w:val="00BB3629"/>
    <w:rsid w:val="00BC0ED4"/>
    <w:rsid w:val="00BF03C2"/>
    <w:rsid w:val="00BF11B0"/>
    <w:rsid w:val="00C30D9B"/>
    <w:rsid w:val="00C36256"/>
    <w:rsid w:val="00C77ED3"/>
    <w:rsid w:val="00C8135E"/>
    <w:rsid w:val="00C81F3E"/>
    <w:rsid w:val="00CC1EC6"/>
    <w:rsid w:val="00CE2787"/>
    <w:rsid w:val="00D32818"/>
    <w:rsid w:val="00D34555"/>
    <w:rsid w:val="00D768F0"/>
    <w:rsid w:val="00D85C89"/>
    <w:rsid w:val="00D9280A"/>
    <w:rsid w:val="00DA2D31"/>
    <w:rsid w:val="00DB51D8"/>
    <w:rsid w:val="00DC0867"/>
    <w:rsid w:val="00DF3368"/>
    <w:rsid w:val="00DF6F6E"/>
    <w:rsid w:val="00E00ADD"/>
    <w:rsid w:val="00E07FF9"/>
    <w:rsid w:val="00E72692"/>
    <w:rsid w:val="00EA568F"/>
    <w:rsid w:val="00EB2459"/>
    <w:rsid w:val="00F071DF"/>
    <w:rsid w:val="00F221FA"/>
    <w:rsid w:val="00F324B2"/>
    <w:rsid w:val="00F34F66"/>
    <w:rsid w:val="00F606E5"/>
    <w:rsid w:val="00F86FA4"/>
    <w:rsid w:val="00F90498"/>
    <w:rsid w:val="00FB3E72"/>
    <w:rsid w:val="00FD06B1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87"/>
    <w:pPr>
      <w:ind w:left="720"/>
      <w:contextualSpacing/>
    </w:pPr>
  </w:style>
  <w:style w:type="paragraph" w:styleId="NoSpacing">
    <w:name w:val="No Spacing"/>
    <w:uiPriority w:val="1"/>
    <w:qFormat/>
    <w:rsid w:val="00CC1EC6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43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74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13D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13D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031FA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357D7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87"/>
    <w:pPr>
      <w:ind w:left="720"/>
      <w:contextualSpacing/>
    </w:pPr>
  </w:style>
  <w:style w:type="paragraph" w:styleId="NoSpacing">
    <w:name w:val="No Spacing"/>
    <w:uiPriority w:val="1"/>
    <w:qFormat/>
    <w:rsid w:val="00CC1EC6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43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74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13D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13D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031FA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357D7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ppi.org/committee/quantification-of-monetary-relief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7C88-E6F9-4B44-B94A-24D02BF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5ACF5C95.dotm</Template>
  <TotalTime>0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VERON ET ASSOCIES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Chapalain</dc:creator>
  <cp:lastModifiedBy>Gladys Korval</cp:lastModifiedBy>
  <cp:revision>2</cp:revision>
  <cp:lastPrinted>2017-10-31T17:23:00Z</cp:lastPrinted>
  <dcterms:created xsi:type="dcterms:W3CDTF">2017-10-16T08:18:00Z</dcterms:created>
  <dcterms:modified xsi:type="dcterms:W3CDTF">2017-10-16T08:18:00Z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497c7f2d-ecf6-47dc-bccb-c35b8b87458c</vt:lpwstr>
  </property>
</Properties>
</file>