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77E" w:rsidRPr="008F523D" w:rsidRDefault="008F523D" w:rsidP="008F523D">
      <w:pPr>
        <w:jc w:val="center"/>
        <w:rPr>
          <w:b/>
          <w:bCs/>
          <w:sz w:val="24"/>
          <w:szCs w:val="24"/>
          <w:lang w:val="en-GB"/>
        </w:rPr>
      </w:pPr>
      <w:bookmarkStart w:id="0" w:name="_GoBack"/>
      <w:bookmarkEnd w:id="0"/>
      <w:r w:rsidRPr="008F523D">
        <w:rPr>
          <w:b/>
          <w:noProof/>
          <w:sz w:val="24"/>
          <w:szCs w:val="24"/>
          <w:lang w:val="fr-FR" w:eastAsia="fr-FR"/>
        </w:rPr>
        <w:drawing>
          <wp:anchor distT="0" distB="0" distL="114300" distR="114300" simplePos="0" relativeHeight="251659264" behindDoc="0" locked="0" layoutInCell="1" allowOverlap="1" wp14:anchorId="64529F35" wp14:editId="78893D6B">
            <wp:simplePos x="0" y="0"/>
            <wp:positionH relativeFrom="column">
              <wp:posOffset>5012055</wp:posOffset>
            </wp:positionH>
            <wp:positionV relativeFrom="paragraph">
              <wp:posOffset>-511175</wp:posOffset>
            </wp:positionV>
            <wp:extent cx="1220400" cy="86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0400" cy="864000"/>
                    </a:xfrm>
                    <a:prstGeom prst="rect">
                      <a:avLst/>
                    </a:prstGeom>
                    <a:noFill/>
                  </pic:spPr>
                </pic:pic>
              </a:graphicData>
            </a:graphic>
            <wp14:sizeRelH relativeFrom="page">
              <wp14:pctWidth>0</wp14:pctWidth>
            </wp14:sizeRelH>
            <wp14:sizeRelV relativeFrom="page">
              <wp14:pctHeight>0</wp14:pctHeight>
            </wp14:sizeRelV>
          </wp:anchor>
        </w:drawing>
      </w:r>
    </w:p>
    <w:p w:rsidR="00A01806" w:rsidRPr="008F523D" w:rsidRDefault="00A01806" w:rsidP="008F523D">
      <w:pPr>
        <w:jc w:val="center"/>
        <w:rPr>
          <w:b/>
          <w:bCs/>
          <w:sz w:val="24"/>
          <w:lang w:val="de-CH"/>
        </w:rPr>
      </w:pPr>
    </w:p>
    <w:p w:rsidR="00C872EF" w:rsidRPr="008F523D" w:rsidRDefault="00C872EF" w:rsidP="008F523D">
      <w:pPr>
        <w:jc w:val="center"/>
        <w:rPr>
          <w:b/>
          <w:bCs/>
          <w:sz w:val="24"/>
          <w:lang w:val="de-CH"/>
        </w:rPr>
      </w:pPr>
    </w:p>
    <w:p w:rsidR="00A01806" w:rsidRPr="008F523D" w:rsidRDefault="00A01806" w:rsidP="008F523D">
      <w:pPr>
        <w:jc w:val="center"/>
        <w:rPr>
          <w:b/>
          <w:bCs/>
          <w:sz w:val="24"/>
          <w:lang w:val="de-CH"/>
        </w:rPr>
      </w:pPr>
    </w:p>
    <w:p w:rsidR="000E1CEF" w:rsidRPr="000E1CEF" w:rsidRDefault="000E1CEF" w:rsidP="000E1CEF">
      <w:pPr>
        <w:pStyle w:val="DocumentHeading"/>
        <w:keepNext/>
        <w:spacing w:before="960"/>
      </w:pPr>
      <w:r w:rsidRPr="000E1CEF">
        <w:t>Study Guidelines</w:t>
      </w:r>
    </w:p>
    <w:p w:rsidR="000E1CEF" w:rsidRPr="000E1CEF" w:rsidRDefault="000E1CEF" w:rsidP="000E1CEF">
      <w:pPr>
        <w:pStyle w:val="Corpsdetexte"/>
        <w:rPr>
          <w:lang w:val="en-US"/>
        </w:rPr>
      </w:pPr>
    </w:p>
    <w:p w:rsidR="00D203D3" w:rsidRPr="00D203D3" w:rsidRDefault="00D203D3" w:rsidP="00D203D3">
      <w:pPr>
        <w:numPr>
          <w:ilvl w:val="0"/>
          <w:numId w:val="46"/>
        </w:numPr>
        <w:spacing w:before="60" w:line="288" w:lineRule="auto"/>
        <w:jc w:val="center"/>
        <w:rPr>
          <w:rFonts w:eastAsiaTheme="minorEastAsia"/>
          <w:sz w:val="24"/>
          <w:szCs w:val="24"/>
          <w:lang w:val="en-US"/>
        </w:rPr>
      </w:pPr>
      <w:r w:rsidRPr="00D203D3">
        <w:rPr>
          <w:rFonts w:eastAsiaTheme="minorEastAsia"/>
          <w:sz w:val="24"/>
          <w:szCs w:val="24"/>
          <w:lang w:val="en-US"/>
        </w:rPr>
        <w:t>by Sarah MATHESON, Reporter General</w:t>
      </w:r>
    </w:p>
    <w:p w:rsidR="00D203D3" w:rsidRPr="00D203D3" w:rsidRDefault="00D203D3" w:rsidP="00D203D3">
      <w:pPr>
        <w:numPr>
          <w:ilvl w:val="0"/>
          <w:numId w:val="46"/>
        </w:numPr>
        <w:spacing w:before="60" w:line="288" w:lineRule="auto"/>
        <w:jc w:val="center"/>
        <w:rPr>
          <w:rFonts w:eastAsiaTheme="minorEastAsia"/>
          <w:sz w:val="24"/>
          <w:szCs w:val="24"/>
          <w:lang w:val="en-US"/>
        </w:rPr>
      </w:pPr>
      <w:r w:rsidRPr="00D203D3">
        <w:rPr>
          <w:rFonts w:eastAsiaTheme="minorEastAsia"/>
          <w:sz w:val="24"/>
          <w:szCs w:val="24"/>
          <w:lang w:val="en-US"/>
        </w:rPr>
        <w:t>John OSHA, First Deputy Reporter General</w:t>
      </w:r>
    </w:p>
    <w:p w:rsidR="00D203D3" w:rsidRPr="00D203D3" w:rsidRDefault="00D203D3" w:rsidP="00D203D3">
      <w:pPr>
        <w:numPr>
          <w:ilvl w:val="0"/>
          <w:numId w:val="46"/>
        </w:numPr>
        <w:spacing w:before="60" w:line="288" w:lineRule="auto"/>
        <w:jc w:val="center"/>
        <w:rPr>
          <w:rFonts w:eastAsiaTheme="minorEastAsia"/>
          <w:sz w:val="24"/>
          <w:szCs w:val="24"/>
          <w:lang w:val="en-US"/>
        </w:rPr>
      </w:pPr>
      <w:r w:rsidRPr="00D203D3">
        <w:rPr>
          <w:rFonts w:eastAsiaTheme="minorEastAsia"/>
          <w:sz w:val="24"/>
          <w:szCs w:val="24"/>
          <w:lang w:val="en-US"/>
        </w:rPr>
        <w:t>Anne Marie VERSCHUUR, Second Deputy Reporter General</w:t>
      </w:r>
    </w:p>
    <w:p w:rsidR="00D203D3" w:rsidRPr="00D203D3" w:rsidRDefault="00D203D3" w:rsidP="00D203D3">
      <w:pPr>
        <w:numPr>
          <w:ilvl w:val="0"/>
          <w:numId w:val="46"/>
        </w:numPr>
        <w:spacing w:before="60" w:line="288" w:lineRule="auto"/>
        <w:jc w:val="center"/>
        <w:rPr>
          <w:rFonts w:eastAsiaTheme="minorEastAsia"/>
          <w:sz w:val="24"/>
          <w:szCs w:val="24"/>
          <w:lang w:val="en-US"/>
        </w:rPr>
      </w:pPr>
      <w:r w:rsidRPr="00D203D3">
        <w:rPr>
          <w:rFonts w:eastAsiaTheme="minorEastAsia"/>
          <w:sz w:val="24"/>
          <w:szCs w:val="24"/>
          <w:lang w:val="en-US"/>
        </w:rPr>
        <w:t>Yusuke INUI, Ari LAAKKONEN and Ralph NACK</w:t>
      </w:r>
    </w:p>
    <w:p w:rsidR="00D203D3" w:rsidRPr="00D203D3" w:rsidRDefault="00D203D3" w:rsidP="00D203D3">
      <w:pPr>
        <w:numPr>
          <w:ilvl w:val="0"/>
          <w:numId w:val="46"/>
        </w:numPr>
        <w:spacing w:before="60" w:line="288" w:lineRule="auto"/>
        <w:jc w:val="center"/>
        <w:rPr>
          <w:rFonts w:eastAsiaTheme="minorEastAsia"/>
          <w:sz w:val="24"/>
          <w:szCs w:val="24"/>
          <w:lang w:val="en-US"/>
        </w:rPr>
      </w:pPr>
      <w:r w:rsidRPr="00D203D3">
        <w:rPr>
          <w:rFonts w:eastAsiaTheme="minorEastAsia"/>
          <w:sz w:val="24"/>
          <w:szCs w:val="24"/>
          <w:lang w:val="en-US"/>
        </w:rPr>
        <w:t>Assistants to the Reporter General</w:t>
      </w:r>
    </w:p>
    <w:p w:rsidR="000E1CEF" w:rsidRPr="000E1CEF" w:rsidRDefault="000E1CEF" w:rsidP="000E1CEF">
      <w:pPr>
        <w:keepNext/>
        <w:numPr>
          <w:ilvl w:val="0"/>
          <w:numId w:val="46"/>
        </w:numPr>
        <w:spacing w:before="480" w:line="288" w:lineRule="auto"/>
        <w:jc w:val="center"/>
        <w:rPr>
          <w:rFonts w:eastAsiaTheme="minorEastAsia"/>
          <w:b/>
          <w:sz w:val="24"/>
          <w:szCs w:val="24"/>
          <w:lang w:val="en-US"/>
        </w:rPr>
      </w:pPr>
      <w:r w:rsidRPr="000E1CEF">
        <w:rPr>
          <w:rFonts w:eastAsiaTheme="minorEastAsia"/>
          <w:b/>
          <w:bCs/>
          <w:noProof/>
          <w:sz w:val="24"/>
          <w:szCs w:val="24"/>
          <w:lang w:val="en-GB" w:eastAsia="de-CH"/>
        </w:rPr>
        <w:t>2017 – Study Question</w:t>
      </w:r>
    </w:p>
    <w:p w:rsidR="000E1CEF" w:rsidRPr="000E1CEF" w:rsidRDefault="000E1CEF" w:rsidP="000E1CEF">
      <w:pPr>
        <w:keepNext/>
        <w:spacing w:before="240" w:line="288" w:lineRule="auto"/>
        <w:jc w:val="center"/>
        <w:rPr>
          <w:rFonts w:eastAsiaTheme="minorEastAsia"/>
          <w:b/>
          <w:sz w:val="24"/>
          <w:szCs w:val="24"/>
          <w:lang w:val="en-US"/>
        </w:rPr>
      </w:pPr>
      <w:r w:rsidRPr="000E1CEF">
        <w:rPr>
          <w:rFonts w:eastAsiaTheme="minorEastAsia"/>
          <w:b/>
          <w:bCs/>
          <w:sz w:val="24"/>
          <w:szCs w:val="24"/>
          <w:lang w:val="en-GB"/>
        </w:rPr>
        <w:t>Bad faith trademarks</w:t>
      </w:r>
    </w:p>
    <w:p w:rsidR="000E1CEF" w:rsidRPr="000E1CEF" w:rsidRDefault="000E1CEF" w:rsidP="000E1CEF">
      <w:pPr>
        <w:keepNext/>
        <w:keepLines/>
        <w:spacing w:before="200" w:line="276" w:lineRule="auto"/>
        <w:rPr>
          <w:rFonts w:eastAsiaTheme="minorHAnsi" w:cstheme="minorBidi"/>
          <w:b/>
        </w:rPr>
      </w:pPr>
      <w:r w:rsidRPr="000E1CEF">
        <w:rPr>
          <w:rFonts w:eastAsiaTheme="minorHAnsi" w:cstheme="minorBidi"/>
          <w:b/>
        </w:rPr>
        <w:t>Introduction</w:t>
      </w:r>
    </w:p>
    <w:p w:rsidR="000E1CEF" w:rsidRPr="000E1CEF" w:rsidRDefault="000E1CEF" w:rsidP="000E1CEF">
      <w:pPr>
        <w:pStyle w:val="Para-1"/>
        <w:rPr>
          <w:lang w:val="en-GB"/>
        </w:rPr>
      </w:pPr>
      <w:r w:rsidRPr="000E1CEF">
        <w:rPr>
          <w:lang w:val="en-GB"/>
        </w:rPr>
        <w:t xml:space="preserve">This Study Question concerns bad faith in relation to trademarks. </w:t>
      </w:r>
    </w:p>
    <w:p w:rsidR="000E1CEF" w:rsidRPr="000E1CEF" w:rsidRDefault="000E1CEF" w:rsidP="000E1CEF">
      <w:pPr>
        <w:pStyle w:val="Para-1"/>
        <w:rPr>
          <w:lang w:val="en-GB"/>
        </w:rPr>
      </w:pPr>
      <w:r w:rsidRPr="000E1CEF">
        <w:rPr>
          <w:lang w:val="en-GB"/>
        </w:rPr>
        <w:t xml:space="preserve">Bad faith most commonly arises in the context that a trademark is used in one or more jurisdictions, but is not registered in other jurisdictions, and someone other than the trademark owner applies for an identical or confusingly similar trademark in a jurisdiction where the trademark is not registered. This might be done to prevent the trademark owner from entering the market, with the intention of selling the trademark application to the trademark owner when the owner attempts to enter that market, or simply wishing to profit from the trademark owner's reputation. Such applications may be rejected as "bad faith" applications. </w:t>
      </w:r>
    </w:p>
    <w:p w:rsidR="000E1CEF" w:rsidRPr="000E1CEF" w:rsidRDefault="000E1CEF" w:rsidP="000E1CEF">
      <w:pPr>
        <w:pStyle w:val="Para-1"/>
        <w:rPr>
          <w:lang w:val="en-GB"/>
        </w:rPr>
      </w:pPr>
      <w:r w:rsidRPr="000E1CEF">
        <w:rPr>
          <w:lang w:val="en-GB"/>
        </w:rPr>
        <w:t>The refiling of a very similar or identical trademark by a trademark owner, or the filing of a so-called "defensive trademark", can arguably also amount to bad faith (</w:t>
      </w:r>
      <w:r w:rsidRPr="000E1CEF">
        <w:rPr>
          <w:bCs/>
          <w:lang w:val="en-GB"/>
        </w:rPr>
        <w:t>in the sense that such marks are not used, or not genuinely used, but nonetheless obstruct the use and/or registration of a third party trademark)</w:t>
      </w:r>
      <w:r w:rsidRPr="000E1CEF">
        <w:rPr>
          <w:lang w:val="en-GB"/>
        </w:rPr>
        <w:t>.</w:t>
      </w:r>
    </w:p>
    <w:p w:rsidR="000E1CEF" w:rsidRPr="000E1CEF" w:rsidRDefault="000E1CEF" w:rsidP="000E1CEF">
      <w:pPr>
        <w:pStyle w:val="Para-1"/>
        <w:rPr>
          <w:lang w:val="en-GB"/>
        </w:rPr>
      </w:pPr>
      <w:r w:rsidRPr="000E1CEF">
        <w:rPr>
          <w:lang w:val="en-GB"/>
        </w:rPr>
        <w:t>"Bad faith" may also arise in other situations, e.g. if an applicant has no intention to use the mark applied for, or not for all goods/services at issue; or if an application is contrary to contractual obligations.</w:t>
      </w:r>
    </w:p>
    <w:p w:rsidR="000E1CEF" w:rsidRPr="000E1CEF" w:rsidRDefault="000E1CEF" w:rsidP="000E1CEF">
      <w:pPr>
        <w:pStyle w:val="Para-1"/>
      </w:pPr>
      <w:r w:rsidRPr="000E1CEF">
        <w:t>The common denominator seems to be that bad faith involves some kind of dishonest, abusive or unseemly behaviour by a trademark applicant.</w:t>
      </w:r>
      <w:r w:rsidRPr="000E1CEF">
        <w:rPr>
          <w:vertAlign w:val="superscript"/>
        </w:rPr>
        <w:footnoteReference w:id="1"/>
      </w:r>
      <w:r w:rsidRPr="000E1CEF">
        <w:t xml:space="preserve"> In some </w:t>
      </w:r>
      <w:r w:rsidRPr="000E1CEF">
        <w:lastRenderedPageBreak/>
        <w:t xml:space="preserve">jurisdictions, the term "fraud" may </w:t>
      </w:r>
      <w:r w:rsidR="00DD3CDF">
        <w:t xml:space="preserve">also </w:t>
      </w:r>
      <w:r w:rsidRPr="000E1CEF">
        <w:t xml:space="preserve">be used to denote such behaviour. References to </w:t>
      </w:r>
      <w:r w:rsidRPr="004A1CCD">
        <w:rPr>
          <w:b/>
          <w:i/>
        </w:rPr>
        <w:t>bad faith</w:t>
      </w:r>
      <w:r w:rsidRPr="000E1CEF">
        <w:t xml:space="preserve"> in these Study Guidelines should be read as including such fraud.</w:t>
      </w:r>
    </w:p>
    <w:p w:rsidR="000E1CEF" w:rsidRPr="000E1CEF" w:rsidRDefault="000E1CEF" w:rsidP="000E1CEF">
      <w:pPr>
        <w:keepNext/>
        <w:keepLines/>
        <w:spacing w:before="200" w:line="276" w:lineRule="auto"/>
        <w:rPr>
          <w:rFonts w:eastAsiaTheme="minorHAnsi" w:cstheme="minorBidi"/>
          <w:b/>
        </w:rPr>
      </w:pPr>
      <w:r w:rsidRPr="000E1CEF">
        <w:rPr>
          <w:rFonts w:eastAsiaTheme="minorHAnsi" w:cstheme="minorBidi"/>
          <w:b/>
        </w:rPr>
        <w:t>Why AIPPI considers this an important area of study</w:t>
      </w:r>
    </w:p>
    <w:p w:rsidR="000E1CEF" w:rsidRPr="000E1CEF" w:rsidRDefault="000E1CEF" w:rsidP="000E1CEF">
      <w:pPr>
        <w:pStyle w:val="Para-1"/>
      </w:pPr>
      <w:r w:rsidRPr="000E1CEF">
        <w:t>Because of the differences in the treatment of bad faith between jurisdictions and the variability of the criteria for a finding of bad faith, there is a lack of predictability regarding what constitutes bad faith.</w:t>
      </w:r>
      <w:r w:rsidRPr="000E1CEF">
        <w:rPr>
          <w:vertAlign w:val="superscript"/>
        </w:rPr>
        <w:footnoteReference w:id="2"/>
      </w:r>
      <w:r w:rsidRPr="000E1CEF">
        <w:t xml:space="preserve"> This means both trademark owners and applicants for registration may need to take different approaches in different jurisdictions.</w:t>
      </w:r>
    </w:p>
    <w:p w:rsidR="000E1CEF" w:rsidRPr="000E1CEF" w:rsidRDefault="000E1CEF" w:rsidP="000E1CEF">
      <w:pPr>
        <w:keepNext/>
        <w:keepLines/>
        <w:spacing w:before="200" w:line="276" w:lineRule="auto"/>
        <w:rPr>
          <w:rFonts w:eastAsiaTheme="minorHAnsi" w:cstheme="minorBidi"/>
          <w:b/>
        </w:rPr>
      </w:pPr>
      <w:r w:rsidRPr="000E1CEF">
        <w:rPr>
          <w:rFonts w:eastAsiaTheme="minorHAnsi" w:cstheme="minorBidi"/>
          <w:b/>
        </w:rPr>
        <w:t>Relevant treaty provisions</w:t>
      </w:r>
    </w:p>
    <w:p w:rsidR="000E1CEF" w:rsidRPr="000E1CEF" w:rsidRDefault="000E1CEF" w:rsidP="000E1CEF">
      <w:pPr>
        <w:pStyle w:val="Para-1"/>
        <w:rPr>
          <w:lang w:val="en-GB"/>
        </w:rPr>
      </w:pPr>
      <w:r w:rsidRPr="000E1CEF">
        <w:rPr>
          <w:lang w:val="en-GB"/>
        </w:rPr>
        <w:t>The Paris Convention for the Protection of Industrial Property (</w:t>
      </w:r>
      <w:r w:rsidRPr="000E1CEF">
        <w:rPr>
          <w:b/>
          <w:i/>
          <w:lang w:val="en-GB"/>
        </w:rPr>
        <w:t>Paris Convention</w:t>
      </w:r>
      <w:r w:rsidRPr="000E1CEF">
        <w:rPr>
          <w:lang w:val="en-GB"/>
        </w:rPr>
        <w:t>) contains only two references to bad faith, but does not in either case define or describe what constitutes bad faith. Article 6</w:t>
      </w:r>
      <w:r w:rsidRPr="000E1CEF">
        <w:rPr>
          <w:i/>
          <w:lang w:val="en-GB"/>
        </w:rPr>
        <w:t>bis</w:t>
      </w:r>
      <w:r w:rsidRPr="000E1CEF">
        <w:rPr>
          <w:lang w:val="en-GB"/>
        </w:rPr>
        <w:t xml:space="preserve"> (3) provides that no time limit shall be fixed for requesting the cancellation or the prohibition of the use of marks registered or used in bad faith. Article 6</w:t>
      </w:r>
      <w:r w:rsidRPr="000E1CEF">
        <w:rPr>
          <w:i/>
          <w:lang w:val="en-GB"/>
        </w:rPr>
        <w:t>ter</w:t>
      </w:r>
      <w:r w:rsidRPr="000E1CEF">
        <w:rPr>
          <w:lang w:val="en-GB"/>
        </w:rPr>
        <w:t xml:space="preserve"> (7) provides for particular rights in relation to cases of bad faith in relation to marks incorporating State emblems, signs and hallmarks.</w:t>
      </w:r>
      <w:r w:rsidRPr="000E1CEF">
        <w:rPr>
          <w:vertAlign w:val="superscript"/>
          <w:lang w:val="en-GB"/>
        </w:rPr>
        <w:footnoteReference w:id="3"/>
      </w:r>
    </w:p>
    <w:p w:rsidR="000E1CEF" w:rsidRPr="000E1CEF" w:rsidRDefault="000E1CEF" w:rsidP="000E1CEF">
      <w:pPr>
        <w:pStyle w:val="Para-1"/>
      </w:pPr>
      <w:r w:rsidRPr="000E1CEF">
        <w:t>TRIPS provides no further guidance on what constitutes bad faith. A reference to bad faith is found in Article 24(7) of TRIPS, but this is confined to specific issues concerning the intersection between geographical indications and trademarks.</w:t>
      </w:r>
    </w:p>
    <w:p w:rsidR="000E1CEF" w:rsidRPr="000E1CEF" w:rsidRDefault="000E1CEF" w:rsidP="000E1CEF">
      <w:pPr>
        <w:keepNext/>
        <w:keepLines/>
        <w:spacing w:before="200" w:line="276" w:lineRule="auto"/>
        <w:rPr>
          <w:rFonts w:eastAsiaTheme="minorHAnsi" w:cstheme="minorBidi"/>
          <w:b/>
        </w:rPr>
      </w:pPr>
      <w:r w:rsidRPr="000E1CEF">
        <w:rPr>
          <w:rFonts w:eastAsiaTheme="minorHAnsi" w:cstheme="minorBidi"/>
          <w:b/>
        </w:rPr>
        <w:t>Previous work of AIPPI</w:t>
      </w:r>
    </w:p>
    <w:p w:rsidR="000E1CEF" w:rsidRPr="000E1CEF" w:rsidRDefault="000E1CEF" w:rsidP="000E1CEF">
      <w:pPr>
        <w:pStyle w:val="Para-1"/>
        <w:rPr>
          <w:lang w:val="en-GB"/>
        </w:rPr>
      </w:pPr>
      <w:r w:rsidRPr="000E1CEF">
        <w:rPr>
          <w:lang w:val="en-GB"/>
        </w:rPr>
        <w:t xml:space="preserve">AIPPI has not studied bad faith in relation to trademarks recently, or at least not in any specific detail. </w:t>
      </w:r>
    </w:p>
    <w:p w:rsidR="000E1CEF" w:rsidRPr="000E1CEF" w:rsidRDefault="000E1CEF" w:rsidP="000E1CEF">
      <w:pPr>
        <w:pStyle w:val="Para-1"/>
        <w:rPr>
          <w:lang w:val="en-GB"/>
        </w:rPr>
      </w:pPr>
      <w:r w:rsidRPr="000E1CEF">
        <w:rPr>
          <w:lang w:val="en-GB"/>
        </w:rPr>
        <w:t>In the Resolution on Q104 - "Trademarks: conflicts with prior rights" (Tokyo, 1992), AIPPI resolved that the prior use of an unregistered mark in good faith to a significant extent in the country where protection is sought, at least in the circumstances where the opposed applicant or registrant was aware of the existence of the mark or could not reasonably invoke ignorance, should be a ground for challenging a registration or an application for registration (with a possible condition for the exercise of this right being that the prior user apply for registration).</w:t>
      </w:r>
    </w:p>
    <w:p w:rsidR="000E1CEF" w:rsidRPr="000E1CEF" w:rsidRDefault="000E1CEF" w:rsidP="000E1CEF">
      <w:pPr>
        <w:pStyle w:val="Para-1"/>
        <w:rPr>
          <w:lang w:val="en-GB"/>
        </w:rPr>
      </w:pPr>
      <w:r w:rsidRPr="000E1CEF">
        <w:rPr>
          <w:lang w:val="en-GB"/>
        </w:rPr>
        <w:t>In the Resolution on Q143 - "Internet domain names, trademarks and trade names” (Rio de Janeiro, 1998), AIPPI resolved that:</w:t>
      </w:r>
    </w:p>
    <w:p w:rsidR="000E1CEF" w:rsidRPr="000E1CEF" w:rsidRDefault="000E1CEF" w:rsidP="000E1CEF">
      <w:pPr>
        <w:spacing w:before="120" w:line="288" w:lineRule="auto"/>
        <w:ind w:left="1440"/>
        <w:rPr>
          <w:rFonts w:eastAsiaTheme="minorEastAsia" w:cstheme="minorBidi"/>
          <w:i/>
          <w:lang w:eastAsia="ja-JP"/>
        </w:rPr>
      </w:pPr>
      <w:r w:rsidRPr="000E1CEF">
        <w:rPr>
          <w:rFonts w:eastAsiaTheme="minorEastAsia" w:cstheme="minorBidi"/>
          <w:i/>
          <w:lang w:eastAsia="ja-JP"/>
        </w:rPr>
        <w:t xml:space="preserve">… in those jurisdictions that provide for opposition or cancellation of a mark on the ground that the mark was filed or obtained in bad faith, mere use of a </w:t>
      </w:r>
      <w:r w:rsidRPr="000E1CEF">
        <w:rPr>
          <w:rFonts w:eastAsiaTheme="minorEastAsia" w:cstheme="minorBidi"/>
          <w:i/>
          <w:lang w:eastAsia="ja-JP"/>
        </w:rPr>
        <w:lastRenderedPageBreak/>
        <w:t>domain name that includes a trademark should not qualify the subsequent filing by another party of said trademark as filed "in bad faith", unless the use of the domain name constitutes trademark usage and, in those jurisdictions that do not recognize trademark rights based solely on use, the trademark applicant has been aware or ought to have been aware (e.g. as a consequence of the trademark being well-known) of the prior use of said domain name.</w:t>
      </w:r>
    </w:p>
    <w:p w:rsidR="000E1CEF" w:rsidRPr="000E1CEF" w:rsidRDefault="000E1CEF" w:rsidP="000E1CEF">
      <w:pPr>
        <w:pStyle w:val="Para-1"/>
      </w:pPr>
      <w:r w:rsidRPr="000E1CEF">
        <w:t xml:space="preserve">In </w:t>
      </w:r>
      <w:r w:rsidR="004A1CCD">
        <w:t xml:space="preserve">AIPPI's 2015 Study Question </w:t>
      </w:r>
      <w:r w:rsidRPr="000E1CEF">
        <w:t xml:space="preserve">Q245 </w:t>
      </w:r>
      <w:r w:rsidR="004A1CCD">
        <w:t>–</w:t>
      </w:r>
      <w:r w:rsidRPr="000E1CEF">
        <w:t xml:space="preserve"> </w:t>
      </w:r>
      <w:r w:rsidR="004A1CCD">
        <w:t>"</w:t>
      </w:r>
      <w:r w:rsidRPr="000E1CEF">
        <w:t>Taking unfair advantage of trademarks: parasitism and free riding</w:t>
      </w:r>
      <w:r w:rsidR="004A1CCD">
        <w:t>"</w:t>
      </w:r>
      <w:r w:rsidRPr="000E1CEF">
        <w:t xml:space="preserve">, one of the questions enquired whether bad faith is or should be an element required for a successful action based on the taking of unfair advantage of a trademark. The Resolution on Q245 </w:t>
      </w:r>
      <w:r w:rsidR="004A1CCD">
        <w:t xml:space="preserve">(Rio de Janeiro, 2015) </w:t>
      </w:r>
      <w:r w:rsidRPr="000E1CEF">
        <w:t xml:space="preserve">does not mention bad faith. </w:t>
      </w:r>
    </w:p>
    <w:p w:rsidR="000E1CEF" w:rsidRPr="000E1CEF" w:rsidRDefault="000E1CEF" w:rsidP="000E1CEF">
      <w:pPr>
        <w:pStyle w:val="Para-1"/>
      </w:pPr>
      <w:r w:rsidRPr="000E1CEF">
        <w:t xml:space="preserve">During the </w:t>
      </w:r>
      <w:r w:rsidR="004A1CCD">
        <w:t>AIPPI World Congress</w:t>
      </w:r>
      <w:r w:rsidR="00521E81">
        <w:t xml:space="preserve"> in </w:t>
      </w:r>
      <w:r w:rsidRPr="000E1CEF">
        <w:t xml:space="preserve">Rio </w:t>
      </w:r>
      <w:r w:rsidR="00521E81">
        <w:t xml:space="preserve">de Janeiro </w:t>
      </w:r>
      <w:r w:rsidRPr="000E1CEF">
        <w:t>in September 2015, there was a panel session titled "Keeping the faith: dealing with bad faith registrations" with speakers from Brazil, Mexico, The Netherlands and the US. As evidenced by the discussion in that session, what constitutes “bad faith” and how “bad faith” may be proved differs considerably between jurisdictions.</w:t>
      </w:r>
    </w:p>
    <w:p w:rsidR="000E1CEF" w:rsidRPr="000E1CEF" w:rsidRDefault="000E1CEF" w:rsidP="000E1CEF">
      <w:pPr>
        <w:keepNext/>
        <w:keepLines/>
        <w:spacing w:before="200" w:line="276" w:lineRule="auto"/>
        <w:rPr>
          <w:rFonts w:eastAsiaTheme="minorHAnsi" w:cstheme="minorBidi"/>
          <w:b/>
        </w:rPr>
      </w:pPr>
      <w:r w:rsidRPr="000E1CEF">
        <w:rPr>
          <w:rFonts w:eastAsiaTheme="minorHAnsi" w:cstheme="minorBidi"/>
          <w:b/>
        </w:rPr>
        <w:t>Scope of this Study Question</w:t>
      </w:r>
    </w:p>
    <w:p w:rsidR="000E1CEF" w:rsidRPr="000E1CEF" w:rsidRDefault="000E1CEF" w:rsidP="000E1CEF">
      <w:pPr>
        <w:pStyle w:val="Para-1"/>
        <w:rPr>
          <w:lang w:val="en-GB"/>
        </w:rPr>
      </w:pPr>
      <w:r w:rsidRPr="000E1CEF">
        <w:rPr>
          <w:lang w:val="en-GB"/>
        </w:rPr>
        <w:t>This Study Question seeks to establish what types of conduct constitute bad faith in trademark law and how bad faith may be proved, both from the perspective of a prior user and the perspective of a third party objecting to e.g. a defensive mark or refiling. In this respect, a question to be answered will be whether a definition of bad faith as such is desirable, or whether it is preferable to identify circumstances that can be relevant to establishing bad faith, but without setting out specific requirements.</w:t>
      </w:r>
      <w:r w:rsidRPr="000E1CEF">
        <w:rPr>
          <w:vertAlign w:val="superscript"/>
          <w:lang w:val="en-GB"/>
        </w:rPr>
        <w:footnoteReference w:id="4"/>
      </w:r>
    </w:p>
    <w:p w:rsidR="000E1CEF" w:rsidRPr="000E1CEF" w:rsidRDefault="000E1CEF" w:rsidP="000E1CEF">
      <w:pPr>
        <w:pStyle w:val="Para-1"/>
      </w:pPr>
      <w:r w:rsidRPr="000E1CEF">
        <w:t>This Study Question focuses on bad faith in the context of trademark applications and registrations. It does not address bad faith in the context of use, nor does it cover the role of bad faith in the context of the Paris Convention and TRIPs references as described above in paragraphs 7) and 8) above.</w:t>
      </w:r>
    </w:p>
    <w:p w:rsidR="000E1CEF" w:rsidRPr="000E1CEF" w:rsidRDefault="000E1CEF" w:rsidP="000E1CEF">
      <w:pPr>
        <w:keepNext/>
        <w:keepLines/>
        <w:spacing w:before="200" w:line="276" w:lineRule="auto"/>
        <w:rPr>
          <w:rFonts w:eastAsiaTheme="minorHAnsi" w:cstheme="minorBidi"/>
          <w:b/>
        </w:rPr>
      </w:pPr>
      <w:r w:rsidRPr="000E1CEF">
        <w:rPr>
          <w:rFonts w:eastAsiaTheme="minorHAnsi" w:cstheme="minorBidi" w:hint="eastAsia"/>
          <w:b/>
        </w:rPr>
        <w:t>Discussion</w:t>
      </w:r>
    </w:p>
    <w:p w:rsidR="000E1CEF" w:rsidRPr="000E1CEF" w:rsidRDefault="000E1CEF" w:rsidP="000E1CEF">
      <w:pPr>
        <w:keepNext/>
        <w:keepLines/>
        <w:numPr>
          <w:ilvl w:val="1"/>
          <w:numId w:val="0"/>
        </w:numPr>
        <w:spacing w:before="200" w:line="276" w:lineRule="auto"/>
        <w:rPr>
          <w:rFonts w:eastAsiaTheme="minorHAnsi" w:cstheme="minorBidi"/>
          <w:u w:val="single"/>
          <w:lang w:eastAsia="ja-JP"/>
        </w:rPr>
      </w:pPr>
      <w:r w:rsidRPr="000E1CEF">
        <w:rPr>
          <w:rFonts w:eastAsiaTheme="minorHAnsi" w:cstheme="minorBidi"/>
          <w:u w:val="single"/>
          <w:lang w:eastAsia="ja-JP"/>
        </w:rPr>
        <w:t>Bad faith - prior third party use or filing</w:t>
      </w:r>
    </w:p>
    <w:p w:rsidR="000E1CEF" w:rsidRPr="000E1CEF" w:rsidRDefault="000E1CEF" w:rsidP="000E1CEF">
      <w:pPr>
        <w:pStyle w:val="Para-1"/>
        <w:rPr>
          <w:lang w:val="en-GB"/>
        </w:rPr>
      </w:pPr>
      <w:r w:rsidRPr="000E1CEF">
        <w:rPr>
          <w:lang w:val="en-GB"/>
        </w:rPr>
        <w:t xml:space="preserve">In the EU, Article 4(2) of the EU Trademark Directive 2015/2436/EC provides that a trademark shall be liable to be declared invalid where the application for registration of the trademark was made in bad faith by the applicant; and any Member State may also provide that such a trademark is not to be registered. Furthermore, pursuant to Article 5(4)(c) of this </w:t>
      </w:r>
      <w:r w:rsidR="00521E81">
        <w:rPr>
          <w:lang w:val="en-GB"/>
        </w:rPr>
        <w:t>D</w:t>
      </w:r>
      <w:r w:rsidRPr="000E1CEF">
        <w:rPr>
          <w:lang w:val="en-GB"/>
        </w:rPr>
        <w:t xml:space="preserve">irective, any Member State may, in addition, provide that a trademark is not to be registered or, if registered, is liable to be declared invalid where, and to the extent that the trademark is liable to be confused with an earlier trademark protected abroad, provided that, at the date of the application, the </w:t>
      </w:r>
      <w:r w:rsidRPr="000E1CEF">
        <w:rPr>
          <w:lang w:val="en-GB"/>
        </w:rPr>
        <w:lastRenderedPageBreak/>
        <w:t>applicant was acting in bad faith.</w:t>
      </w:r>
      <w:r w:rsidRPr="000E1CEF">
        <w:rPr>
          <w:bCs/>
          <w:vertAlign w:val="superscript"/>
          <w:lang w:val="en-GB"/>
        </w:rPr>
        <w:footnoteReference w:id="5"/>
      </w:r>
      <w:r w:rsidRPr="000E1CEF">
        <w:rPr>
          <w:lang w:val="en-GB"/>
        </w:rPr>
        <w:t xml:space="preserve"> Bad faith is also mentioned as an invalidity ground in Article 52(1)(b) Trademark Regulation (Council Regulation (EC) 207/2009).</w:t>
      </w:r>
    </w:p>
    <w:p w:rsidR="000E1CEF" w:rsidRPr="000E1CEF" w:rsidRDefault="000E1CEF" w:rsidP="000E1CEF">
      <w:pPr>
        <w:pStyle w:val="Para-1"/>
        <w:rPr>
          <w:bCs/>
          <w:lang w:val="en-GB"/>
        </w:rPr>
      </w:pPr>
      <w:r w:rsidRPr="000E1CEF">
        <w:rPr>
          <w:lang w:val="en-GB"/>
        </w:rPr>
        <w:t xml:space="preserve">What constitutes bad faith is not set out in the legal provisions, and hence the notion of bad faith has been the subject of EU case law. </w:t>
      </w:r>
    </w:p>
    <w:p w:rsidR="000E1CEF" w:rsidRPr="000E1CEF" w:rsidRDefault="000E1CEF" w:rsidP="000E1CEF">
      <w:pPr>
        <w:pStyle w:val="Para-1"/>
        <w:rPr>
          <w:bCs/>
          <w:lang w:val="en-GB"/>
        </w:rPr>
      </w:pPr>
      <w:r w:rsidRPr="000E1CEF">
        <w:rPr>
          <w:lang w:val="en-GB"/>
        </w:rPr>
        <w:t xml:space="preserve">In the </w:t>
      </w:r>
      <w:r w:rsidRPr="000E1CEF">
        <w:rPr>
          <w:i/>
          <w:lang w:val="en-GB"/>
        </w:rPr>
        <w:t>Lindt</w:t>
      </w:r>
      <w:r w:rsidRPr="000E1CEF">
        <w:rPr>
          <w:lang w:val="en-GB"/>
        </w:rPr>
        <w:t xml:space="preserve"> decision</w:t>
      </w:r>
      <w:r w:rsidRPr="000E1CEF">
        <w:rPr>
          <w:vertAlign w:val="superscript"/>
          <w:lang w:val="en-GB"/>
        </w:rPr>
        <w:footnoteReference w:id="6"/>
      </w:r>
      <w:r w:rsidRPr="000E1CEF">
        <w:rPr>
          <w:lang w:val="en-GB"/>
        </w:rPr>
        <w:t>, the European Court of Justice (</w:t>
      </w:r>
      <w:r w:rsidRPr="000E1CEF">
        <w:rPr>
          <w:b/>
          <w:i/>
          <w:lang w:val="en-GB"/>
        </w:rPr>
        <w:t>ECJ</w:t>
      </w:r>
      <w:r w:rsidRPr="000E1CEF">
        <w:rPr>
          <w:lang w:val="en-GB"/>
        </w:rPr>
        <w:t>) ruled that</w:t>
      </w:r>
      <w:r w:rsidRPr="000E1CEF">
        <w:rPr>
          <w:bCs/>
          <w:lang w:val="en-GB"/>
        </w:rPr>
        <w:t xml:space="preserve"> i</w:t>
      </w:r>
      <w:r w:rsidRPr="000E1CEF">
        <w:rPr>
          <w:lang w:val="en-GB"/>
        </w:rPr>
        <w:t>n order to determine whether the applicant is acting in bad faith, the national court must take into consideration all the relevant factors specific to the particular case which pertained at the time of filing the application for registration of the sign as a Community trademark, in particular:</w:t>
      </w:r>
    </w:p>
    <w:p w:rsidR="000E1CEF" w:rsidRPr="000E1CEF" w:rsidRDefault="000E1CEF" w:rsidP="000E1CEF">
      <w:pPr>
        <w:pStyle w:val="Para-a"/>
        <w:rPr>
          <w:bCs/>
          <w:lang w:val="en-US"/>
        </w:rPr>
      </w:pPr>
      <w:r w:rsidRPr="000E1CEF">
        <w:rPr>
          <w:lang w:val="en-US"/>
        </w:rPr>
        <w:t>the fact that the applicant knows or must know that a third party is using, in at least one Member State, an identical or similar sign for an identical or similar product capable of being confused with the sign for which registration is sought;</w:t>
      </w:r>
    </w:p>
    <w:p w:rsidR="000E1CEF" w:rsidRPr="000E1CEF" w:rsidRDefault="000E1CEF" w:rsidP="000E1CEF">
      <w:pPr>
        <w:pStyle w:val="Para-a"/>
        <w:rPr>
          <w:bCs/>
          <w:lang w:val="en-US"/>
        </w:rPr>
      </w:pPr>
      <w:r w:rsidRPr="000E1CEF">
        <w:rPr>
          <w:lang w:val="en-US"/>
        </w:rPr>
        <w:t>the applicant’s intention to prevent that third party from continuing to use such a sign; and</w:t>
      </w:r>
    </w:p>
    <w:p w:rsidR="000E1CEF" w:rsidRPr="000E1CEF" w:rsidRDefault="000E1CEF" w:rsidP="000E1CEF">
      <w:pPr>
        <w:pStyle w:val="Para-a"/>
        <w:rPr>
          <w:bCs/>
          <w:lang w:val="en-US"/>
        </w:rPr>
      </w:pPr>
      <w:r w:rsidRPr="000E1CEF">
        <w:rPr>
          <w:lang w:val="en-US"/>
        </w:rPr>
        <w:t>the degree of legal protection enjoyed by the third party’s sign and by the sign for which registration is sought.</w:t>
      </w:r>
    </w:p>
    <w:p w:rsidR="000E1CEF" w:rsidRPr="000E1CEF" w:rsidRDefault="000E1CEF" w:rsidP="000E1CEF">
      <w:pPr>
        <w:pStyle w:val="Para-1"/>
        <w:rPr>
          <w:lang w:val="en-GB"/>
        </w:rPr>
      </w:pPr>
      <w:r w:rsidRPr="000E1CEF">
        <w:rPr>
          <w:lang w:val="en-GB"/>
        </w:rPr>
        <w:t xml:space="preserve">In </w:t>
      </w:r>
      <w:r w:rsidRPr="000E1CEF">
        <w:rPr>
          <w:i/>
          <w:lang w:val="en-GB"/>
        </w:rPr>
        <w:t>Malaysian Dairy</w:t>
      </w:r>
      <w:r w:rsidRPr="000E1CEF">
        <w:rPr>
          <w:i/>
          <w:vertAlign w:val="superscript"/>
          <w:lang w:val="en-GB"/>
        </w:rPr>
        <w:footnoteReference w:id="7"/>
      </w:r>
      <w:r w:rsidRPr="000E1CEF">
        <w:rPr>
          <w:lang w:val="en-GB"/>
        </w:rPr>
        <w:t xml:space="preserve">, the ECJ further clarified that the concept of bad faith, within the meaning of Article 4(4)(g) of Directive 2008/95, is an autonomous concept of European Union law which must be given a uniform interpretation in the European Union. Further, in order to permit the conclusion that the person making the application for registration of a trademark is acting in bad faith within the meaning of that provision, it is necessary to take into consideration all the relevant factors specific to the particular case which pertained at the time of filing the application for registration. The fact that the person making that application knows or should know that a third party is using a mark abroad at the time of filing their application which is liable to be confused with the mark whose registration has been applied for is not sufficient, in itself, to permit the conclusion that the person making that application is acting in bad faith within the meaning of that provision. </w:t>
      </w:r>
    </w:p>
    <w:p w:rsidR="000E1CEF" w:rsidRPr="000E1CEF" w:rsidRDefault="000E1CEF" w:rsidP="000E1CEF">
      <w:pPr>
        <w:pStyle w:val="Para-1"/>
        <w:rPr>
          <w:lang w:val="en-GB"/>
        </w:rPr>
      </w:pPr>
      <w:r w:rsidRPr="000E1CEF">
        <w:rPr>
          <w:lang w:val="en-GB"/>
        </w:rPr>
        <w:t>In Australia, bad faith is included as an opposition ground in Article 62A Trade Marks Act 1995. The following is given as an example in which bad faith can be invoked:</w:t>
      </w:r>
    </w:p>
    <w:p w:rsidR="000E1CEF" w:rsidRPr="000E1CEF" w:rsidRDefault="000E1CEF" w:rsidP="000E1CEF">
      <w:pPr>
        <w:spacing w:before="120" w:line="288" w:lineRule="auto"/>
        <w:ind w:left="1440"/>
        <w:rPr>
          <w:rFonts w:eastAsiaTheme="minorEastAsia" w:cstheme="minorBidi"/>
          <w:i/>
          <w:lang w:val="en-GB" w:eastAsia="ja-JP"/>
        </w:rPr>
      </w:pPr>
      <w:r w:rsidRPr="000E1CEF">
        <w:rPr>
          <w:rFonts w:eastAsiaTheme="minorEastAsia" w:cstheme="minorBidi"/>
          <w:i/>
          <w:lang w:val="en-GB" w:eastAsia="ja-JP"/>
        </w:rPr>
        <w:t>… business people who identify a trade mark overseas which has no market penetration in Australia, and then register that trade mark with no intention to use it in the Australian market and for the express purpose of selling the mark to the overseas owner.</w:t>
      </w:r>
      <w:r w:rsidRPr="000E1CEF">
        <w:rPr>
          <w:rFonts w:eastAsiaTheme="minorEastAsia" w:cstheme="minorBidi"/>
          <w:i/>
          <w:vertAlign w:val="superscript"/>
          <w:lang w:val="en-GB" w:eastAsia="ja-JP"/>
        </w:rPr>
        <w:footnoteReference w:id="8"/>
      </w:r>
    </w:p>
    <w:p w:rsidR="000E1CEF" w:rsidRPr="000E1CEF" w:rsidRDefault="000E1CEF" w:rsidP="000E1CEF">
      <w:pPr>
        <w:spacing w:before="200" w:line="276" w:lineRule="auto"/>
        <w:ind w:left="720"/>
        <w:rPr>
          <w:rFonts w:eastAsiaTheme="minorHAnsi" w:cstheme="minorBidi"/>
          <w:lang w:val="en-GB"/>
        </w:rPr>
      </w:pPr>
      <w:r w:rsidRPr="000E1CEF">
        <w:rPr>
          <w:rFonts w:eastAsiaTheme="minorHAnsi" w:cstheme="minorBidi"/>
          <w:lang w:val="en-GB"/>
        </w:rPr>
        <w:t>In Fry Consulting Pty Ltd v Sports Warehouse Inc</w:t>
      </w:r>
      <w:r w:rsidRPr="000E1CEF">
        <w:rPr>
          <w:rFonts w:eastAsiaTheme="minorHAnsi" w:cstheme="minorBidi"/>
          <w:vertAlign w:val="superscript"/>
          <w:lang w:val="en-GB"/>
        </w:rPr>
        <w:footnoteReference w:id="9"/>
      </w:r>
      <w:r w:rsidRPr="000E1CEF">
        <w:rPr>
          <w:rFonts w:eastAsiaTheme="minorHAnsi" w:cstheme="minorBidi"/>
          <w:lang w:val="en-GB"/>
        </w:rPr>
        <w:t xml:space="preserve">, the court stated that the test is whether "persons adopting proper standards would regard the decision to register as </w:t>
      </w:r>
      <w:r w:rsidRPr="000E1CEF">
        <w:rPr>
          <w:rFonts w:eastAsiaTheme="minorHAnsi" w:cstheme="minorBidi"/>
          <w:lang w:val="en-GB"/>
        </w:rPr>
        <w:lastRenderedPageBreak/>
        <w:t xml:space="preserve">in bad faith, or that reasonable and experienced persons in the field would view such conduct as falling short of acceptable commercial behaviour." An example of a Trade Mark Office finding of bad faith concerns the application for the name of a well known comic character </w:t>
      </w:r>
      <w:r w:rsidR="00521E81">
        <w:rPr>
          <w:rFonts w:eastAsiaTheme="minorHAnsi" w:cstheme="minorBidi"/>
          <w:lang w:val="en-GB"/>
        </w:rPr>
        <w:t>when</w:t>
      </w:r>
      <w:r w:rsidRPr="000E1CEF">
        <w:rPr>
          <w:rFonts w:eastAsiaTheme="minorHAnsi" w:cstheme="minorBidi"/>
          <w:lang w:val="en-GB"/>
        </w:rPr>
        <w:t xml:space="preserve"> the applicant was aware that the trademark had been widely used overseas</w:t>
      </w:r>
      <w:r w:rsidR="00521E81">
        <w:rPr>
          <w:rFonts w:eastAsiaTheme="minorHAnsi" w:cstheme="minorBidi"/>
          <w:lang w:val="en-GB"/>
        </w:rPr>
        <w:t>,</w:t>
      </w:r>
      <w:r w:rsidRPr="000E1CEF">
        <w:rPr>
          <w:rFonts w:eastAsiaTheme="minorHAnsi" w:cstheme="minorBidi"/>
          <w:lang w:val="en-GB"/>
        </w:rPr>
        <w:t xml:space="preserve"> and </w:t>
      </w:r>
      <w:r w:rsidR="00521E81">
        <w:rPr>
          <w:rFonts w:eastAsiaTheme="minorHAnsi" w:cstheme="minorBidi"/>
          <w:lang w:val="en-GB"/>
        </w:rPr>
        <w:t xml:space="preserve">in circumstances where the applicant is </w:t>
      </w:r>
      <w:r w:rsidRPr="000E1CEF">
        <w:rPr>
          <w:rFonts w:eastAsiaTheme="minorHAnsi" w:cstheme="minorBidi"/>
          <w:lang w:val="en-GB"/>
        </w:rPr>
        <w:t>engaged in a pattern of similar behaviour.</w:t>
      </w:r>
      <w:r w:rsidRPr="000E1CEF">
        <w:rPr>
          <w:rFonts w:eastAsiaTheme="minorHAnsi" w:cstheme="minorBidi"/>
          <w:vertAlign w:val="superscript"/>
          <w:lang w:val="en-GB"/>
        </w:rPr>
        <w:footnoteReference w:id="10"/>
      </w:r>
    </w:p>
    <w:p w:rsidR="000E1CEF" w:rsidRPr="000E1CEF" w:rsidRDefault="000E1CEF" w:rsidP="000E1CEF">
      <w:pPr>
        <w:pStyle w:val="Para-1"/>
        <w:rPr>
          <w:lang w:val="en-GB"/>
        </w:rPr>
      </w:pPr>
      <w:r w:rsidRPr="000E1CEF">
        <w:rPr>
          <w:lang w:val="en-GB"/>
        </w:rPr>
        <w:t>In Japan, the term "bad faith" is not as such included in the relevant statutory provisions, but there are several provisions that seem to cover similar situations to those mentioned above. Among those is Article 4(1)(xix) Japanese Trademark Act, which provides that a trademark shall not be registered, if it</w:t>
      </w:r>
    </w:p>
    <w:p w:rsidR="000E1CEF" w:rsidRPr="000E1CEF" w:rsidRDefault="000E1CEF" w:rsidP="000E1CEF">
      <w:pPr>
        <w:spacing w:before="120" w:line="288" w:lineRule="auto"/>
        <w:ind w:left="1440"/>
        <w:rPr>
          <w:rFonts w:eastAsiaTheme="minorEastAsia" w:cstheme="minorBidi"/>
          <w:i/>
          <w:lang w:val="en-GB" w:eastAsia="ja-JP"/>
        </w:rPr>
      </w:pPr>
      <w:r w:rsidRPr="000E1CEF">
        <w:rPr>
          <w:rFonts w:eastAsiaTheme="minorEastAsia" w:cstheme="minorBidi"/>
          <w:i/>
          <w:lang w:val="en-GB" w:eastAsia="ja-JP"/>
        </w:rPr>
        <w:t>… is identical with, or similar to, a trademark which is well-known among consumers in Japan or abroad … if such trademark is used for unfair purposes …</w:t>
      </w:r>
    </w:p>
    <w:p w:rsidR="000E1CEF" w:rsidRPr="000E1CEF" w:rsidRDefault="000E1CEF" w:rsidP="000E1CEF">
      <w:pPr>
        <w:spacing w:before="200" w:line="276" w:lineRule="auto"/>
        <w:ind w:left="720"/>
        <w:rPr>
          <w:rFonts w:eastAsiaTheme="minorHAnsi" w:cstheme="minorBidi"/>
          <w:lang w:val="en-GB"/>
        </w:rPr>
      </w:pPr>
      <w:r w:rsidRPr="000E1CEF">
        <w:rPr>
          <w:rFonts w:eastAsiaTheme="minorHAnsi" w:cstheme="minorBidi"/>
          <w:lang w:val="en-GB"/>
        </w:rPr>
        <w:t>This Article can for example be invoked if an application is filed solely for the purpose of preventing the trademark owner of the well-known mark from entering the Japanese market, or for the purpose of making the trademark owner pay a significant amount of money. Also Article 4(1)(vii) can be invoked, namely if an applicant intends to misappropriate a trademark of a prior user.</w:t>
      </w:r>
    </w:p>
    <w:p w:rsidR="000E1CEF" w:rsidRPr="000E1CEF" w:rsidRDefault="000E1CEF" w:rsidP="000E1CEF">
      <w:pPr>
        <w:pStyle w:val="Para-1"/>
      </w:pPr>
      <w:r w:rsidRPr="000E1CEF">
        <w:t>In the US, bad faith is generally deemed to occur where one intentionally selects a mark to trade off the goodwill associated with another’s mark.</w:t>
      </w:r>
      <w:r w:rsidRPr="000E1CEF">
        <w:rPr>
          <w:vertAlign w:val="superscript"/>
        </w:rPr>
        <w:footnoteReference w:id="11"/>
      </w:r>
      <w:r w:rsidRPr="000E1CEF">
        <w:t xml:space="preserve"> It is a relevant factor when assessing likelihood of confusion and can be established through direct and/or circumstantial evidence of knowledge of the prior mark owner’s rights and an intent to trade off those rights.</w:t>
      </w:r>
    </w:p>
    <w:p w:rsidR="000E1CEF" w:rsidRPr="000E1CEF" w:rsidRDefault="000E1CEF" w:rsidP="000E1CEF">
      <w:pPr>
        <w:keepNext/>
        <w:keepLines/>
        <w:numPr>
          <w:ilvl w:val="1"/>
          <w:numId w:val="0"/>
        </w:numPr>
        <w:spacing w:before="200" w:line="276" w:lineRule="auto"/>
        <w:rPr>
          <w:rFonts w:eastAsiaTheme="minorHAnsi" w:cstheme="minorBidi"/>
          <w:u w:val="single"/>
          <w:lang w:eastAsia="ja-JP"/>
        </w:rPr>
      </w:pPr>
      <w:r w:rsidRPr="000E1CEF">
        <w:rPr>
          <w:rFonts w:eastAsiaTheme="minorHAnsi" w:cstheme="minorBidi"/>
          <w:u w:val="single"/>
          <w:lang w:eastAsia="ja-JP"/>
        </w:rPr>
        <w:t>Bad faith - repeat filings and defensive marks</w:t>
      </w:r>
    </w:p>
    <w:p w:rsidR="000E1CEF" w:rsidRPr="000E1CEF" w:rsidRDefault="000E1CEF" w:rsidP="000E1CEF">
      <w:pPr>
        <w:pStyle w:val="Para-1"/>
        <w:rPr>
          <w:lang w:val="en-GB"/>
        </w:rPr>
      </w:pPr>
      <w:r w:rsidRPr="000E1CEF">
        <w:rPr>
          <w:lang w:val="en-GB"/>
        </w:rPr>
        <w:t>Another example of a situation involving dishonest use by the trademark applicant arguably may be found where the applicant refiles a trademark solely to circumvent genuine use requirements.</w:t>
      </w:r>
    </w:p>
    <w:p w:rsidR="000E1CEF" w:rsidRPr="000E1CEF" w:rsidRDefault="000E1CEF" w:rsidP="000E1CEF">
      <w:pPr>
        <w:pStyle w:val="Para-1"/>
        <w:rPr>
          <w:lang w:val="en-GB"/>
        </w:rPr>
      </w:pPr>
      <w:r w:rsidRPr="000E1CEF">
        <w:rPr>
          <w:lang w:val="en-GB"/>
        </w:rPr>
        <w:t>In the EU, there is some case law that is critical of such refiling. It follows from OHIM (now EUIPO) Board of Appeal case law that a person who files a trademark (essentially) identical to a trademark that person has previously filed (both in terms of goods/services and the sign itself) cannot circumvent genuine use requirements by this refiling; they will have to show genuine use for the goods/services covered by the earlier registration.</w:t>
      </w:r>
      <w:r w:rsidRPr="000E1CEF">
        <w:rPr>
          <w:bCs/>
          <w:vertAlign w:val="superscript"/>
          <w:lang w:val="en-GB"/>
        </w:rPr>
        <w:footnoteReference w:id="12"/>
      </w:r>
      <w:r w:rsidRPr="000E1CEF">
        <w:rPr>
          <w:lang w:val="en-GB"/>
        </w:rPr>
        <w:t xml:space="preserve"> </w:t>
      </w:r>
    </w:p>
    <w:p w:rsidR="000E1CEF" w:rsidRPr="000E1CEF" w:rsidRDefault="000E1CEF" w:rsidP="000E1CEF">
      <w:pPr>
        <w:pStyle w:val="Para-1"/>
        <w:rPr>
          <w:lang w:val="en-GB"/>
        </w:rPr>
      </w:pPr>
      <w:r w:rsidRPr="000E1CEF">
        <w:rPr>
          <w:lang w:val="en-GB"/>
        </w:rPr>
        <w:t xml:space="preserve">While the case law referred to above addressed the refiling of a trademark in the context of the genuine use requirement, in the </w:t>
      </w:r>
      <w:r w:rsidRPr="000E1CEF">
        <w:rPr>
          <w:i/>
          <w:lang w:val="en-GB"/>
        </w:rPr>
        <w:t>Pelikan</w:t>
      </w:r>
      <w:r w:rsidRPr="000E1CEF">
        <w:rPr>
          <w:lang w:val="en-GB"/>
        </w:rPr>
        <w:t xml:space="preserve"> case</w:t>
      </w:r>
      <w:r w:rsidRPr="000E1CEF">
        <w:rPr>
          <w:bCs/>
          <w:vertAlign w:val="superscript"/>
          <w:lang w:val="en-GB"/>
        </w:rPr>
        <w:footnoteReference w:id="13"/>
      </w:r>
      <w:r w:rsidRPr="000E1CEF">
        <w:rPr>
          <w:lang w:val="en-GB"/>
        </w:rPr>
        <w:t>, the Board seemed to accept that repeat applications for the same mark in order to avoid the consequences of revocation for non-use of earlier trademarks can amount to bad faith. Although the Board eventually concluded that there was no bad faith, it made some interesting statements relevant as to what may constitute bad faith. First, it stated that as to the alleged repeat applications, the repetitive nature of conduct may be taken into account in order to assess whether or not there is bad faith, with reference to an ECJ decision.</w:t>
      </w:r>
      <w:r w:rsidRPr="000E1CEF">
        <w:rPr>
          <w:bCs/>
          <w:vertAlign w:val="superscript"/>
          <w:lang w:val="en-GB"/>
        </w:rPr>
        <w:footnoteReference w:id="14"/>
      </w:r>
      <w:r w:rsidRPr="000E1CEF">
        <w:rPr>
          <w:lang w:val="en-GB"/>
        </w:rPr>
        <w:t xml:space="preserve"> Secondly, the Board stated that differences between the old and the new sign may be sufficient to escape a bad faith finding. This could be the case even if the difference is insignificant from a trademark point of view, for example if it concerns an updated version of the previous sign to meet evolving market requirements (without the sole intention being to prevent a third party from entering the market). The Board also stated that registration for a large number of goods and services is as such not decisive in an assessment of bad faith; it is rather common practice of companies trying to obtain a trademark registration. </w:t>
      </w:r>
    </w:p>
    <w:p w:rsidR="000E1CEF" w:rsidRPr="000E1CEF" w:rsidRDefault="000E1CEF" w:rsidP="000E1CEF">
      <w:pPr>
        <w:pStyle w:val="Para-1"/>
        <w:rPr>
          <w:lang w:val="en-GB"/>
        </w:rPr>
      </w:pPr>
      <w:r w:rsidRPr="000E1CEF">
        <w:rPr>
          <w:lang w:val="en-GB"/>
        </w:rPr>
        <w:t>Repeat trademarks should be distinguished from defensive trademarks, although there can be some overlap. In the case of a repeat filing, there is usually (although not necessarily) actual or intended activity by the applicant. In the case of defensive trademarks, there is no such activity - the trademark is solely filed to block others from entering the market. Of course, a reason for this may be to keep open the option for the applicant to enter the market at a later stage.</w:t>
      </w:r>
    </w:p>
    <w:p w:rsidR="000E1CEF" w:rsidRPr="000E1CEF" w:rsidRDefault="000E1CEF" w:rsidP="000E1CEF">
      <w:pPr>
        <w:pStyle w:val="Para-1"/>
        <w:rPr>
          <w:lang w:val="en-GB"/>
        </w:rPr>
      </w:pPr>
      <w:r w:rsidRPr="000E1CEF">
        <w:rPr>
          <w:lang w:val="en-GB"/>
        </w:rPr>
        <w:t xml:space="preserve">In several jurisdictions, </w:t>
      </w:r>
      <w:r w:rsidR="00521E81">
        <w:rPr>
          <w:lang w:val="en-GB"/>
        </w:rPr>
        <w:t xml:space="preserve">at least </w:t>
      </w:r>
      <w:r w:rsidRPr="000E1CEF">
        <w:rPr>
          <w:lang w:val="en-GB"/>
        </w:rPr>
        <w:t xml:space="preserve">an "intent to use" a trademark applied for is required. For example, under Japanese law this requirement is in Article 3(1) Japanese Trademark Act (which may in particular be problematic for an applicant </w:t>
      </w:r>
      <w:r w:rsidR="00521E81">
        <w:rPr>
          <w:lang w:val="en-GB"/>
        </w:rPr>
        <w:t>where</w:t>
      </w:r>
      <w:r w:rsidRPr="000E1CEF">
        <w:rPr>
          <w:lang w:val="en-GB"/>
        </w:rPr>
        <w:t xml:space="preserve"> registration is sought for a broad range of goods and/or services). Also in the US and Australia an "intent to use" is required. However, it seems that generally a lack of intent to use is not referred to as "bad faith".</w:t>
      </w:r>
    </w:p>
    <w:p w:rsidR="000E1CEF" w:rsidRPr="000E1CEF" w:rsidRDefault="000E1CEF" w:rsidP="000E1CEF">
      <w:pPr>
        <w:pStyle w:val="Para-1"/>
        <w:rPr>
          <w:lang w:val="en-GB"/>
        </w:rPr>
      </w:pPr>
      <w:r w:rsidRPr="000E1CEF">
        <w:rPr>
          <w:lang w:val="en-GB"/>
        </w:rPr>
        <w:t>EU law does not require an "intent to use" as such. It has even been argued that such a requirement is not compatible with Article 16(3) TRIPS, which provides that an application shall not be refused solely because intended use has not taken place before the expiry of a period of three years from the date of application.</w:t>
      </w:r>
      <w:r w:rsidRPr="000E1CEF">
        <w:rPr>
          <w:vertAlign w:val="superscript"/>
          <w:lang w:val="en-GB"/>
        </w:rPr>
        <w:footnoteReference w:id="15"/>
      </w:r>
    </w:p>
    <w:p w:rsidR="000E1CEF" w:rsidRPr="000E1CEF" w:rsidRDefault="000E1CEF" w:rsidP="000E1CEF">
      <w:pPr>
        <w:pStyle w:val="Para-1"/>
      </w:pPr>
      <w:r w:rsidRPr="000E1CEF">
        <w:t>Apart from the examples above, there may be other situations in which bad faith (or a similar concept) is deemed to exist. For example, in the US false statements provided to the USPTO can give rise to "fraud".</w:t>
      </w:r>
    </w:p>
    <w:p w:rsidR="000E1CEF" w:rsidRPr="000E1CEF" w:rsidRDefault="000E1CEF" w:rsidP="000E1CEF">
      <w:pPr>
        <w:spacing w:before="200" w:line="276" w:lineRule="auto"/>
        <w:rPr>
          <w:rFonts w:eastAsiaTheme="minorHAnsi" w:cstheme="minorBidi"/>
          <w:lang w:eastAsia="ja-JP"/>
        </w:rPr>
      </w:pPr>
    </w:p>
    <w:p w:rsidR="000E1CEF" w:rsidRPr="000E1CEF" w:rsidRDefault="000E1CEF" w:rsidP="000E1CEF">
      <w:pPr>
        <w:spacing w:before="200" w:line="276" w:lineRule="auto"/>
        <w:rPr>
          <w:rFonts w:eastAsiaTheme="minorHAnsi" w:cstheme="minorBidi"/>
          <w:b/>
          <w:i/>
          <w:lang w:eastAsia="ja-JP"/>
        </w:rPr>
      </w:pPr>
      <w:r w:rsidRPr="000E1CEF">
        <w:rPr>
          <w:rFonts w:eastAsiaTheme="minorHAnsi" w:cstheme="minorBidi"/>
          <w:b/>
          <w:i/>
          <w:lang w:eastAsia="ja-JP"/>
        </w:rPr>
        <w:t>You are invited to submit a Report addressing the questions below. Please refer to the 'Protocol for the preparation of Reports'.</w:t>
      </w:r>
    </w:p>
    <w:p w:rsidR="000E1CEF" w:rsidRPr="000E1CEF" w:rsidRDefault="000E1CEF" w:rsidP="000E1CEF">
      <w:pPr>
        <w:keepNext/>
        <w:keepLines/>
        <w:spacing w:before="200" w:line="276" w:lineRule="auto"/>
        <w:rPr>
          <w:rFonts w:eastAsiaTheme="minorHAnsi" w:cstheme="minorBidi"/>
          <w:b/>
        </w:rPr>
      </w:pPr>
      <w:r w:rsidRPr="000E1CEF">
        <w:rPr>
          <w:rFonts w:eastAsiaTheme="minorHAnsi" w:cstheme="minorBidi"/>
          <w:b/>
        </w:rPr>
        <w:t>Questions</w:t>
      </w:r>
    </w:p>
    <w:p w:rsidR="000E1CEF" w:rsidRPr="000E1CEF" w:rsidRDefault="000E1CEF" w:rsidP="000E1CEF">
      <w:pPr>
        <w:keepNext/>
        <w:keepLines/>
        <w:numPr>
          <w:ilvl w:val="5"/>
          <w:numId w:val="48"/>
        </w:numPr>
        <w:spacing w:before="200" w:line="276" w:lineRule="auto"/>
        <w:rPr>
          <w:rFonts w:eastAsiaTheme="minorHAnsi" w:cstheme="minorBidi"/>
          <w:b/>
        </w:rPr>
      </w:pPr>
      <w:r w:rsidRPr="000E1CEF">
        <w:rPr>
          <w:rFonts w:eastAsiaTheme="minorHAnsi" w:cstheme="minorBidi"/>
          <w:b/>
        </w:rPr>
        <w:t>Current law and practice</w:t>
      </w:r>
    </w:p>
    <w:p w:rsidR="000E1CEF" w:rsidRPr="000E1CEF" w:rsidRDefault="000E1CEF" w:rsidP="000E1CEF">
      <w:pPr>
        <w:keepNext/>
        <w:keepLines/>
        <w:numPr>
          <w:ilvl w:val="1"/>
          <w:numId w:val="0"/>
        </w:numPr>
        <w:spacing w:before="200" w:line="276" w:lineRule="auto"/>
        <w:rPr>
          <w:rFonts w:eastAsiaTheme="minorHAnsi" w:cstheme="minorBidi"/>
          <w:u w:val="single"/>
          <w:lang w:eastAsia="ja-JP"/>
        </w:rPr>
      </w:pPr>
      <w:r w:rsidRPr="000E1CEF">
        <w:rPr>
          <w:rFonts w:eastAsiaTheme="minorHAnsi" w:cstheme="minorBidi"/>
          <w:u w:val="single"/>
          <w:lang w:eastAsia="ja-JP"/>
        </w:rPr>
        <w:t>Bad faith - prior third party use or filing</w:t>
      </w:r>
    </w:p>
    <w:p w:rsidR="000E1CEF" w:rsidRPr="000E1CEF" w:rsidRDefault="000E1CEF" w:rsidP="000E1CEF">
      <w:pPr>
        <w:pStyle w:val="Para-1"/>
        <w:numPr>
          <w:ilvl w:val="2"/>
          <w:numId w:val="49"/>
        </w:numPr>
        <w:rPr>
          <w:lang w:val="en-GB"/>
        </w:rPr>
      </w:pPr>
      <w:r w:rsidRPr="000E1CEF">
        <w:rPr>
          <w:lang w:val="en-GB"/>
        </w:rPr>
        <w:t>Does your Group's current law provide for an action against the application or registration for a trademark in a jurisdiction by a party (</w:t>
      </w:r>
      <w:r w:rsidRPr="000E1CEF">
        <w:rPr>
          <w:b/>
          <w:i/>
          <w:lang w:val="en-GB"/>
        </w:rPr>
        <w:t>Party A</w:t>
      </w:r>
      <w:r w:rsidRPr="000E1CEF">
        <w:rPr>
          <w:lang w:val="en-GB"/>
        </w:rPr>
        <w:t>), if that trademark or a similar sign is already used in one or more jurisdictions by another party (</w:t>
      </w:r>
      <w:r w:rsidRPr="000E1CEF">
        <w:rPr>
          <w:b/>
          <w:i/>
          <w:lang w:val="en-GB"/>
        </w:rPr>
        <w:t>Party B</w:t>
      </w:r>
      <w:r w:rsidRPr="000E1CEF">
        <w:rPr>
          <w:lang w:val="en-GB"/>
        </w:rPr>
        <w:t>), but is not registered in the jurisdiction where Party A has filed the trademark?</w:t>
      </w:r>
    </w:p>
    <w:p w:rsidR="000E1CEF" w:rsidRPr="00453184" w:rsidRDefault="000E1CEF" w:rsidP="000E1CEF">
      <w:pPr>
        <w:spacing w:before="200" w:line="276" w:lineRule="auto"/>
        <w:ind w:left="720"/>
        <w:rPr>
          <w:rFonts w:eastAsiaTheme="minorHAnsi" w:cstheme="minorBidi"/>
          <w:i/>
        </w:rPr>
      </w:pPr>
      <w:r w:rsidRPr="00453184">
        <w:rPr>
          <w:rFonts w:eastAsiaTheme="minorHAnsi" w:cstheme="minorBidi"/>
          <w:i/>
        </w:rPr>
        <w:t xml:space="preserve">If yes, </w:t>
      </w:r>
      <w:r w:rsidR="00453184" w:rsidRPr="00453184">
        <w:rPr>
          <w:rFonts w:eastAsiaTheme="minorHAnsi" w:cstheme="minorBidi"/>
          <w:i/>
        </w:rPr>
        <w:t>please answer</w:t>
      </w:r>
      <w:r w:rsidRPr="00453184">
        <w:rPr>
          <w:rFonts w:eastAsiaTheme="minorHAnsi" w:cstheme="minorBidi"/>
          <w:i/>
        </w:rPr>
        <w:t xml:space="preserve"> questions 2</w:t>
      </w:r>
      <w:r w:rsidR="00453184" w:rsidRPr="00453184">
        <w:rPr>
          <w:rFonts w:eastAsiaTheme="minorHAnsi" w:cstheme="minorBidi"/>
          <w:i/>
        </w:rPr>
        <w:t xml:space="preserve">) – </w:t>
      </w:r>
      <w:r w:rsidRPr="00453184">
        <w:rPr>
          <w:rFonts w:eastAsiaTheme="minorHAnsi" w:cstheme="minorBidi"/>
          <w:i/>
        </w:rPr>
        <w:t>7</w:t>
      </w:r>
      <w:r w:rsidR="00453184" w:rsidRPr="00453184">
        <w:rPr>
          <w:rFonts w:eastAsiaTheme="minorHAnsi" w:cstheme="minorBidi"/>
          <w:i/>
        </w:rPr>
        <w:t>). If no, please go to question</w:t>
      </w:r>
      <w:r w:rsidRPr="00453184">
        <w:rPr>
          <w:rFonts w:eastAsiaTheme="minorHAnsi" w:cstheme="minorBidi"/>
          <w:i/>
        </w:rPr>
        <w:t xml:space="preserve"> 8</w:t>
      </w:r>
      <w:r w:rsidR="00453184" w:rsidRPr="00453184">
        <w:rPr>
          <w:rFonts w:eastAsiaTheme="minorHAnsi" w:cstheme="minorBidi"/>
          <w:i/>
        </w:rPr>
        <w:t>).</w:t>
      </w:r>
    </w:p>
    <w:p w:rsidR="000E1CEF" w:rsidRPr="000E1CEF" w:rsidRDefault="000E1CEF" w:rsidP="000E1CEF">
      <w:pPr>
        <w:pStyle w:val="Para-1"/>
        <w:rPr>
          <w:lang w:val="en-GB"/>
        </w:rPr>
      </w:pPr>
      <w:r w:rsidRPr="000E1CEF">
        <w:rPr>
          <w:lang w:val="en-GB"/>
        </w:rPr>
        <w:t xml:space="preserve">Is the application or registration as described under question 1) above denoted as "bad faith"? </w:t>
      </w:r>
      <w:r w:rsidR="00E07308">
        <w:rPr>
          <w:lang w:val="en-GB"/>
        </w:rPr>
        <w:t>If not, what is it called?</w:t>
      </w:r>
    </w:p>
    <w:p w:rsidR="000E1CEF" w:rsidRPr="000E1CEF" w:rsidRDefault="000E1CEF" w:rsidP="000E1CEF">
      <w:pPr>
        <w:pStyle w:val="Para-1"/>
        <w:rPr>
          <w:lang w:val="en-GB"/>
        </w:rPr>
      </w:pPr>
      <w:r w:rsidRPr="000E1CEF">
        <w:rPr>
          <w:lang w:val="en-GB"/>
        </w:rPr>
        <w:t>Are the following factors relevant for proving an application or registration as described under question 1) in your jurisdiction?</w:t>
      </w:r>
    </w:p>
    <w:p w:rsidR="000E1CEF" w:rsidRPr="000E1CEF" w:rsidRDefault="000E1CEF" w:rsidP="000E1CEF">
      <w:pPr>
        <w:spacing w:before="120" w:line="288" w:lineRule="auto"/>
        <w:ind w:left="720"/>
        <w:rPr>
          <w:rFonts w:eastAsiaTheme="minorEastAsia" w:cstheme="minorBidi"/>
          <w:i/>
          <w:lang w:val="en-GB" w:eastAsia="ja-JP"/>
        </w:rPr>
      </w:pPr>
      <w:r w:rsidRPr="000E1CEF">
        <w:rPr>
          <w:rFonts w:eastAsiaTheme="minorEastAsia" w:cstheme="minorBidi"/>
          <w:i/>
          <w:lang w:val="en-GB" w:eastAsia="ja-JP"/>
        </w:rPr>
        <w:t>Please tick or fill in all boxes as applicable to your jurisdiction</w:t>
      </w:r>
      <w:r w:rsidR="006C6E8E">
        <w:rPr>
          <w:rFonts w:eastAsiaTheme="minorEastAsia" w:cstheme="minorBidi"/>
          <w:i/>
          <w:lang w:val="en-GB" w:eastAsia="ja-JP"/>
        </w:rPr>
        <w:t>. If you select "other", please describe further.</w:t>
      </w:r>
    </w:p>
    <w:p w:rsidR="000E1CEF" w:rsidRPr="000E1CEF" w:rsidRDefault="00453184"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0E1CEF">
        <w:rPr>
          <w:rFonts w:eastAsiaTheme="minorHAnsi" w:cstheme="minorBidi"/>
          <w:lang w:val="en-US"/>
        </w:rPr>
        <w:tab/>
      </w:r>
      <w:r w:rsidR="000E1CEF" w:rsidRPr="000E1CEF">
        <w:rPr>
          <w:rFonts w:eastAsiaTheme="minorHAnsi" w:cstheme="minorBidi"/>
          <w:lang w:val="en-US"/>
        </w:rPr>
        <w:t>Party</w:t>
      </w:r>
      <w:r w:rsidR="000E1CEF" w:rsidRPr="000E1CEF">
        <w:rPr>
          <w:rFonts w:eastAsiaTheme="minorHAnsi" w:cstheme="minorBidi"/>
        </w:rPr>
        <w:t xml:space="preserve"> A knows, or should reasonably be aware, of use of an identical or similar sign abroad </w:t>
      </w:r>
      <w:r w:rsidR="006C6E8E">
        <w:rPr>
          <w:rFonts w:eastAsiaTheme="minorHAnsi" w:cstheme="minorBidi"/>
        </w:rPr>
        <w:t>for identical goods or services</w:t>
      </w:r>
    </w:p>
    <w:p w:rsidR="000E1CEF" w:rsidRPr="000E1CEF" w:rsidRDefault="00453184" w:rsidP="000E1CEF">
      <w:pPr>
        <w:spacing w:before="200" w:line="276" w:lineRule="auto"/>
        <w:ind w:left="1440" w:hanging="731"/>
        <w:rPr>
          <w:rFonts w:eastAsiaTheme="minorHAnsi" w:cstheme="minorBidi"/>
          <w:lang w:val="en-US"/>
        </w:rPr>
      </w:pPr>
      <w:r>
        <w:rPr>
          <w:rFonts w:eastAsiaTheme="minorHAnsi" w:cstheme="minorBidi"/>
          <w:lang w:val="en-GB"/>
        </w:rPr>
        <w:sym w:font="Wingdings" w:char="F0A8"/>
      </w:r>
      <w:r w:rsidR="000E1CEF">
        <w:rPr>
          <w:rFonts w:eastAsiaTheme="minorHAnsi" w:cstheme="minorBidi"/>
          <w:lang w:val="en-US"/>
        </w:rPr>
        <w:tab/>
      </w:r>
      <w:r w:rsidR="000E1CEF" w:rsidRPr="000E1CEF">
        <w:rPr>
          <w:rFonts w:eastAsiaTheme="minorHAnsi" w:cstheme="minorBidi"/>
          <w:lang w:val="en-US"/>
        </w:rPr>
        <w:t>Party A knows, or should reasonably be aware, of use of an identical or similar sign abroa</w:t>
      </w:r>
      <w:r w:rsidR="006C6E8E">
        <w:rPr>
          <w:rFonts w:eastAsiaTheme="minorHAnsi" w:cstheme="minorBidi"/>
          <w:lang w:val="en-US"/>
        </w:rPr>
        <w:t>d for similar goods or services</w:t>
      </w:r>
    </w:p>
    <w:p w:rsidR="000E1CEF" w:rsidRPr="000E1CEF" w:rsidRDefault="00453184"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0E1CEF">
        <w:rPr>
          <w:rFonts w:eastAsiaTheme="minorHAnsi" w:cstheme="minorBidi"/>
        </w:rPr>
        <w:tab/>
      </w:r>
      <w:r w:rsidR="000E1CEF" w:rsidRPr="000E1CEF">
        <w:rPr>
          <w:rFonts w:eastAsiaTheme="minorHAnsi" w:cstheme="minorBidi"/>
        </w:rPr>
        <w:t xml:space="preserve">Party A knows, or should reasonably be aware, of use of an identical or similar sign in the same jurisdiction </w:t>
      </w:r>
      <w:r w:rsidR="006C6E8E">
        <w:rPr>
          <w:rFonts w:eastAsiaTheme="minorHAnsi" w:cstheme="minorBidi"/>
        </w:rPr>
        <w:t>for identical goods or services</w:t>
      </w:r>
    </w:p>
    <w:p w:rsidR="000E1CEF" w:rsidRPr="000E1CEF" w:rsidRDefault="00453184" w:rsidP="000E1CEF">
      <w:pPr>
        <w:spacing w:before="200" w:line="276" w:lineRule="auto"/>
        <w:ind w:left="1440" w:hanging="731"/>
        <w:rPr>
          <w:rFonts w:eastAsiaTheme="minorHAnsi" w:cstheme="minorBidi"/>
          <w:lang w:val="en-US"/>
        </w:rPr>
      </w:pPr>
      <w:r>
        <w:rPr>
          <w:rFonts w:eastAsiaTheme="minorHAnsi" w:cstheme="minorBidi"/>
          <w:lang w:val="en-GB"/>
        </w:rPr>
        <w:sym w:font="Wingdings" w:char="F0A8"/>
      </w:r>
      <w:r w:rsidR="000E1CEF">
        <w:rPr>
          <w:rFonts w:eastAsiaTheme="minorHAnsi" w:cstheme="minorBidi"/>
          <w:lang w:val="en-US"/>
        </w:rPr>
        <w:tab/>
      </w:r>
      <w:r w:rsidR="000E1CEF" w:rsidRPr="000E1CEF">
        <w:rPr>
          <w:rFonts w:eastAsiaTheme="minorHAnsi" w:cstheme="minorBidi"/>
          <w:lang w:val="en-US"/>
        </w:rPr>
        <w:t>Party A knows, or should reasonably be aware, of use of an identical or similar sign in the same jurisdictio</w:t>
      </w:r>
      <w:r w:rsidR="006C6E8E">
        <w:rPr>
          <w:rFonts w:eastAsiaTheme="minorHAnsi" w:cstheme="minorBidi"/>
          <w:lang w:val="en-US"/>
        </w:rPr>
        <w:t>n for similar goods or services</w:t>
      </w:r>
    </w:p>
    <w:p w:rsidR="000E1CEF" w:rsidRPr="000E1CEF" w:rsidRDefault="00453184"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0E1CEF">
        <w:rPr>
          <w:rFonts w:eastAsiaTheme="minorHAnsi" w:cstheme="minorBidi"/>
        </w:rPr>
        <w:tab/>
      </w:r>
      <w:r w:rsidR="000E1CEF" w:rsidRPr="000E1CEF">
        <w:rPr>
          <w:rFonts w:eastAsiaTheme="minorHAnsi" w:cstheme="minorBidi"/>
        </w:rPr>
        <w:t>Party A intends to prevent Party B from continuing to use the earlier sign or to only allow such under cert</w:t>
      </w:r>
      <w:r w:rsidR="006C6E8E">
        <w:rPr>
          <w:rFonts w:eastAsiaTheme="minorHAnsi" w:cstheme="minorBidi"/>
        </w:rPr>
        <w:t>ain conditions (e.g. a license)</w:t>
      </w:r>
    </w:p>
    <w:p w:rsidR="000E1CEF" w:rsidRPr="000E1CEF" w:rsidRDefault="00453184"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0E1CEF">
        <w:rPr>
          <w:rFonts w:eastAsiaTheme="minorHAnsi" w:cstheme="minorBidi"/>
        </w:rPr>
        <w:tab/>
      </w:r>
      <w:r w:rsidR="000E1CEF" w:rsidRPr="000E1CEF">
        <w:rPr>
          <w:rFonts w:eastAsiaTheme="minorHAnsi" w:cstheme="minorBidi"/>
        </w:rPr>
        <w:t>the degree of legal protection enjoyed by Party B's si</w:t>
      </w:r>
      <w:r w:rsidR="006C6E8E">
        <w:rPr>
          <w:rFonts w:eastAsiaTheme="minorHAnsi" w:cstheme="minorBidi"/>
        </w:rPr>
        <w:t>gn and the sign used by party A</w:t>
      </w:r>
    </w:p>
    <w:p w:rsidR="000E1CEF" w:rsidRPr="000E1CEF" w:rsidRDefault="00453184"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0E1CEF">
        <w:rPr>
          <w:rFonts w:eastAsiaTheme="minorHAnsi" w:cstheme="minorBidi"/>
        </w:rPr>
        <w:tab/>
      </w:r>
      <w:r w:rsidR="006C6E8E">
        <w:rPr>
          <w:rFonts w:eastAsiaTheme="minorHAnsi" w:cstheme="minorBidi"/>
        </w:rPr>
        <w:t>other</w:t>
      </w:r>
    </w:p>
    <w:p w:rsidR="000E1CEF" w:rsidRPr="000E1CEF" w:rsidRDefault="00627B36" w:rsidP="000E1CEF">
      <w:pPr>
        <w:pStyle w:val="Para-1"/>
        <w:rPr>
          <w:lang w:val="en-GB"/>
        </w:rPr>
      </w:pPr>
      <w:r>
        <w:rPr>
          <w:lang w:val="en-GB"/>
        </w:rPr>
        <w:t>Is any</w:t>
      </w:r>
      <w:r w:rsidR="000E1CEF" w:rsidRPr="000E1CEF">
        <w:rPr>
          <w:lang w:val="en-GB"/>
        </w:rPr>
        <w:t xml:space="preserve"> one or more of the above factors sufficient on </w:t>
      </w:r>
      <w:r w:rsidR="006C6E8E">
        <w:rPr>
          <w:lang w:val="en-GB"/>
        </w:rPr>
        <w:t>their</w:t>
      </w:r>
      <w:r w:rsidR="000E1CEF" w:rsidRPr="000E1CEF">
        <w:rPr>
          <w:lang w:val="en-GB"/>
        </w:rPr>
        <w:t xml:space="preserve"> own</w:t>
      </w:r>
      <w:r>
        <w:rPr>
          <w:lang w:val="en-GB"/>
        </w:rPr>
        <w:t>,</w:t>
      </w:r>
      <w:r w:rsidR="000E1CEF" w:rsidRPr="000E1CEF">
        <w:rPr>
          <w:lang w:val="en-GB"/>
        </w:rPr>
        <w:t xml:space="preserve"> or will the assessment </w:t>
      </w:r>
      <w:r>
        <w:rPr>
          <w:lang w:val="en-GB"/>
        </w:rPr>
        <w:t xml:space="preserve">instead </w:t>
      </w:r>
      <w:r w:rsidR="000E1CEF" w:rsidRPr="000E1CEF">
        <w:rPr>
          <w:lang w:val="en-GB"/>
        </w:rPr>
        <w:t xml:space="preserve">always take the specific circumstances of the </w:t>
      </w:r>
      <w:r>
        <w:rPr>
          <w:lang w:val="en-GB"/>
        </w:rPr>
        <w:t>case</w:t>
      </w:r>
      <w:r w:rsidR="000E1CEF" w:rsidRPr="000E1CEF">
        <w:rPr>
          <w:lang w:val="en-GB"/>
        </w:rPr>
        <w:t xml:space="preserve"> into account? If one or more of those factors are sufficient on their own, please identify those factors.</w:t>
      </w:r>
    </w:p>
    <w:p w:rsidR="000E1CEF" w:rsidRDefault="00627B36" w:rsidP="000E1CEF">
      <w:pPr>
        <w:pStyle w:val="Para-1"/>
        <w:rPr>
          <w:lang w:val="en-GB"/>
        </w:rPr>
      </w:pPr>
      <w:r>
        <w:rPr>
          <w:lang w:val="en-GB"/>
        </w:rPr>
        <w:t>Which</w:t>
      </w:r>
      <w:r w:rsidR="000E1CEF" w:rsidRPr="000E1CEF">
        <w:rPr>
          <w:lang w:val="en-GB"/>
        </w:rPr>
        <w:t xml:space="preserve"> of the following </w:t>
      </w:r>
      <w:r w:rsidR="006C6E8E">
        <w:rPr>
          <w:lang w:val="en-GB"/>
        </w:rPr>
        <w:t xml:space="preserve">factors </w:t>
      </w:r>
      <w:r>
        <w:rPr>
          <w:lang w:val="en-GB"/>
        </w:rPr>
        <w:t>are</w:t>
      </w:r>
      <w:r w:rsidR="000E1CEF" w:rsidRPr="000E1CEF">
        <w:rPr>
          <w:lang w:val="en-GB"/>
        </w:rPr>
        <w:t xml:space="preserve"> relevant </w:t>
      </w:r>
      <w:r>
        <w:rPr>
          <w:lang w:val="en-GB"/>
        </w:rPr>
        <w:t>to</w:t>
      </w:r>
      <w:r w:rsidR="000E1CEF" w:rsidRPr="000E1CEF">
        <w:rPr>
          <w:lang w:val="en-GB"/>
        </w:rPr>
        <w:t xml:space="preserve"> establishing whether there was or should have been knowledge as described under </w:t>
      </w:r>
      <w:r>
        <w:rPr>
          <w:lang w:val="en-GB"/>
        </w:rPr>
        <w:t xml:space="preserve">question </w:t>
      </w:r>
      <w:r w:rsidR="000E1CEF" w:rsidRPr="000E1CEF">
        <w:rPr>
          <w:lang w:val="en-GB"/>
        </w:rPr>
        <w:t>3)</w:t>
      </w:r>
      <w:r>
        <w:rPr>
          <w:lang w:val="en-GB"/>
        </w:rPr>
        <w:t xml:space="preserve"> above</w:t>
      </w:r>
      <w:r w:rsidR="000E1CEF" w:rsidRPr="000E1CEF">
        <w:rPr>
          <w:lang w:val="en-GB"/>
        </w:rPr>
        <w:t>?</w:t>
      </w:r>
    </w:p>
    <w:p w:rsidR="00453184" w:rsidRPr="000E1CEF" w:rsidRDefault="00453184" w:rsidP="00453184">
      <w:pPr>
        <w:spacing w:before="120" w:line="288" w:lineRule="auto"/>
        <w:ind w:left="720"/>
        <w:rPr>
          <w:rFonts w:eastAsiaTheme="minorEastAsia" w:cstheme="minorBidi"/>
          <w:i/>
          <w:lang w:val="en-GB" w:eastAsia="ja-JP"/>
        </w:rPr>
      </w:pPr>
      <w:r w:rsidRPr="000E1CEF">
        <w:rPr>
          <w:rFonts w:eastAsiaTheme="minorEastAsia" w:cstheme="minorBidi"/>
          <w:i/>
          <w:lang w:val="en-GB" w:eastAsia="ja-JP"/>
        </w:rPr>
        <w:t>Please tick or fill in all boxes as applicable to your jurisdiction</w:t>
      </w:r>
      <w:r w:rsidR="006C6E8E">
        <w:rPr>
          <w:rFonts w:eastAsiaTheme="minorEastAsia" w:cstheme="minorBidi"/>
          <w:i/>
          <w:lang w:val="en-GB" w:eastAsia="ja-JP"/>
        </w:rPr>
        <w:t>. If you select "other", please describe further.</w:t>
      </w:r>
    </w:p>
    <w:p w:rsidR="000E1CEF" w:rsidRPr="000E1CEF" w:rsidRDefault="00453184" w:rsidP="000E1CEF">
      <w:pPr>
        <w:spacing w:before="200" w:line="276" w:lineRule="auto"/>
        <w:ind w:left="709"/>
        <w:rPr>
          <w:rFonts w:eastAsiaTheme="minorHAnsi" w:cstheme="minorBidi"/>
          <w:lang w:val="en-GB"/>
        </w:rPr>
      </w:pPr>
      <w:r>
        <w:rPr>
          <w:rFonts w:eastAsiaTheme="minorHAnsi" w:cstheme="minorBidi"/>
          <w:lang w:val="en-GB"/>
        </w:rPr>
        <w:sym w:font="Wingdings" w:char="F0A8"/>
      </w:r>
      <w:r w:rsidR="000E1CEF" w:rsidRPr="000E1CEF">
        <w:rPr>
          <w:rFonts w:eastAsiaTheme="minorHAnsi" w:cstheme="minorBidi"/>
          <w:lang w:val="en-GB"/>
        </w:rPr>
        <w:tab/>
        <w:t>whether Party A operates in the same or a simil</w:t>
      </w:r>
      <w:r w:rsidR="006C6E8E">
        <w:rPr>
          <w:rFonts w:eastAsiaTheme="minorHAnsi" w:cstheme="minorBidi"/>
          <w:lang w:val="en-GB"/>
        </w:rPr>
        <w:t>ar field of business as Party B</w:t>
      </w:r>
    </w:p>
    <w:p w:rsidR="000E1CEF" w:rsidRPr="000E1CEF" w:rsidRDefault="00453184" w:rsidP="000E1CEF">
      <w:pPr>
        <w:spacing w:before="200" w:line="276" w:lineRule="auto"/>
        <w:ind w:left="709"/>
        <w:rPr>
          <w:rFonts w:eastAsiaTheme="minorHAnsi" w:cstheme="minorBidi"/>
          <w:lang w:val="en-GB"/>
        </w:rPr>
      </w:pPr>
      <w:r>
        <w:rPr>
          <w:rFonts w:eastAsiaTheme="minorHAnsi" w:cstheme="minorBidi"/>
          <w:lang w:val="en-GB"/>
        </w:rPr>
        <w:sym w:font="Wingdings" w:char="F0A8"/>
      </w:r>
      <w:r w:rsidR="000E1CEF" w:rsidRPr="000E1CEF">
        <w:rPr>
          <w:rFonts w:eastAsiaTheme="minorHAnsi" w:cstheme="minorBidi"/>
          <w:lang w:val="en-GB"/>
        </w:rPr>
        <w:tab/>
        <w:t>whether the earlier sign is we</w:t>
      </w:r>
      <w:r w:rsidR="006C6E8E">
        <w:rPr>
          <w:rFonts w:eastAsiaTheme="minorHAnsi" w:cstheme="minorBidi"/>
          <w:lang w:val="en-GB"/>
        </w:rPr>
        <w:t>ll known or enjoys a reputation</w:t>
      </w:r>
    </w:p>
    <w:p w:rsidR="000E1CEF" w:rsidRPr="000E1CEF" w:rsidRDefault="00453184"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0E1CEF" w:rsidRPr="000E1CEF">
        <w:rPr>
          <w:rFonts w:eastAsiaTheme="minorHAnsi" w:cstheme="minorBidi"/>
          <w:lang w:val="en-GB"/>
        </w:rPr>
        <w:tab/>
        <w:t>whether there have been formal or informal dealings or contact between Party A and B (such as an agreeme</w:t>
      </w:r>
      <w:r w:rsidR="006C6E8E">
        <w:rPr>
          <w:rFonts w:eastAsiaTheme="minorHAnsi" w:cstheme="minorBidi"/>
          <w:lang w:val="en-GB"/>
        </w:rPr>
        <w:t>nt, written communication etc.)</w:t>
      </w:r>
    </w:p>
    <w:p w:rsidR="000E1CEF" w:rsidRPr="000E1CEF" w:rsidRDefault="00453184"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6C6E8E">
        <w:rPr>
          <w:rFonts w:eastAsiaTheme="minorHAnsi" w:cstheme="minorBidi"/>
          <w:lang w:val="en-GB"/>
        </w:rPr>
        <w:tab/>
        <w:t>other</w:t>
      </w:r>
    </w:p>
    <w:p w:rsidR="000E1CEF" w:rsidRPr="000E1CEF" w:rsidRDefault="000E1CEF" w:rsidP="000E1CEF">
      <w:pPr>
        <w:pStyle w:val="Para-1"/>
        <w:rPr>
          <w:lang w:val="en-GB"/>
        </w:rPr>
      </w:pPr>
      <w:r w:rsidRPr="000E1CEF">
        <w:rPr>
          <w:lang w:val="en-GB"/>
        </w:rPr>
        <w:t xml:space="preserve">Is the degree of similarity between the signs relevant? </w:t>
      </w:r>
      <w:r w:rsidR="00453184">
        <w:rPr>
          <w:lang w:val="en-GB"/>
        </w:rPr>
        <w:t xml:space="preserve">Please explain why </w:t>
      </w:r>
      <w:r w:rsidR="00173EFC">
        <w:rPr>
          <w:lang w:val="en-GB"/>
        </w:rPr>
        <w:t>in either case</w:t>
      </w:r>
      <w:r w:rsidR="00453184">
        <w:rPr>
          <w:lang w:val="en-GB"/>
        </w:rPr>
        <w:t>.</w:t>
      </w:r>
    </w:p>
    <w:p w:rsidR="000E1CEF" w:rsidRPr="000E1CEF" w:rsidRDefault="000E1CEF" w:rsidP="000E1CEF">
      <w:pPr>
        <w:pStyle w:val="Para-1"/>
        <w:rPr>
          <w:lang w:val="en-GB"/>
        </w:rPr>
      </w:pPr>
      <w:r w:rsidRPr="000E1CEF">
        <w:rPr>
          <w:lang w:val="en-GB"/>
        </w:rPr>
        <w:t xml:space="preserve">Is the degree of similarity between the goods/services relevant? </w:t>
      </w:r>
      <w:r w:rsidR="00453184">
        <w:rPr>
          <w:lang w:val="en-GB"/>
        </w:rPr>
        <w:t xml:space="preserve">Please explain why </w:t>
      </w:r>
      <w:r w:rsidR="00173EFC">
        <w:rPr>
          <w:lang w:val="en-GB"/>
        </w:rPr>
        <w:t>in either case</w:t>
      </w:r>
      <w:r w:rsidR="00453184">
        <w:rPr>
          <w:lang w:val="en-GB"/>
        </w:rPr>
        <w:t>.</w:t>
      </w:r>
    </w:p>
    <w:p w:rsidR="000E1CEF" w:rsidRPr="000E1CEF" w:rsidRDefault="000E1CEF" w:rsidP="000E1CEF">
      <w:pPr>
        <w:keepNext/>
        <w:keepLines/>
        <w:numPr>
          <w:ilvl w:val="1"/>
          <w:numId w:val="0"/>
        </w:numPr>
        <w:spacing w:before="200" w:line="276" w:lineRule="auto"/>
        <w:rPr>
          <w:rFonts w:eastAsiaTheme="minorHAnsi" w:cstheme="minorBidi"/>
          <w:u w:val="single"/>
          <w:lang w:val="en-GB" w:eastAsia="ja-JP"/>
        </w:rPr>
      </w:pPr>
      <w:r w:rsidRPr="000E1CEF">
        <w:rPr>
          <w:rFonts w:eastAsiaTheme="minorHAnsi" w:cstheme="minorBidi"/>
          <w:u w:val="single"/>
          <w:lang w:val="en-GB" w:eastAsia="ja-JP"/>
        </w:rPr>
        <w:t>Repeat filings</w:t>
      </w:r>
    </w:p>
    <w:p w:rsidR="000E1CEF" w:rsidRPr="000E1CEF" w:rsidRDefault="000E1CEF" w:rsidP="000E1CEF">
      <w:pPr>
        <w:pStyle w:val="Para-1"/>
        <w:rPr>
          <w:lang w:val="en-GB"/>
        </w:rPr>
      </w:pPr>
      <w:r w:rsidRPr="000E1CEF">
        <w:rPr>
          <w:lang w:val="en-GB"/>
        </w:rPr>
        <w:t xml:space="preserve">Can the filing of a trademark in your Group's jurisdiction by a trademark owner for a trademark identical or similar to a trademark it already owns in that jurisdiction be refused or cancelled on the ground that the previous trademark fails to meet applicable genuine use requirements? </w:t>
      </w:r>
    </w:p>
    <w:p w:rsidR="000E1CEF" w:rsidRPr="0097319B" w:rsidRDefault="000E1CEF" w:rsidP="000E1CEF">
      <w:pPr>
        <w:spacing w:before="200" w:line="276" w:lineRule="auto"/>
        <w:ind w:left="720"/>
        <w:rPr>
          <w:rFonts w:eastAsiaTheme="minorHAnsi" w:cstheme="minorBidi"/>
          <w:i/>
          <w:lang w:val="en-GB"/>
        </w:rPr>
      </w:pPr>
      <w:r w:rsidRPr="0097319B">
        <w:rPr>
          <w:rFonts w:eastAsiaTheme="minorHAnsi" w:cstheme="minorBidi"/>
          <w:i/>
          <w:lang w:val="en-GB"/>
        </w:rPr>
        <w:t xml:space="preserve">If yes, </w:t>
      </w:r>
      <w:r w:rsidR="0097319B">
        <w:rPr>
          <w:rFonts w:eastAsiaTheme="minorHAnsi" w:cstheme="minorBidi"/>
          <w:i/>
          <w:lang w:val="en-GB"/>
        </w:rPr>
        <w:t>please answer</w:t>
      </w:r>
      <w:r w:rsidRPr="0097319B">
        <w:rPr>
          <w:rFonts w:eastAsiaTheme="minorHAnsi" w:cstheme="minorBidi"/>
          <w:i/>
          <w:lang w:val="en-GB"/>
        </w:rPr>
        <w:t xml:space="preserve"> questions 9</w:t>
      </w:r>
      <w:r w:rsidR="0097319B">
        <w:rPr>
          <w:rFonts w:eastAsiaTheme="minorHAnsi" w:cstheme="minorBidi"/>
          <w:i/>
          <w:lang w:val="en-GB"/>
        </w:rPr>
        <w:t>) -</w:t>
      </w:r>
      <w:r w:rsidRPr="0097319B">
        <w:rPr>
          <w:rFonts w:eastAsiaTheme="minorHAnsi" w:cstheme="minorBidi"/>
          <w:i/>
          <w:lang w:val="en-GB"/>
        </w:rPr>
        <w:t>11</w:t>
      </w:r>
      <w:r w:rsidR="0097319B">
        <w:rPr>
          <w:rFonts w:eastAsiaTheme="minorHAnsi" w:cstheme="minorBidi"/>
          <w:i/>
          <w:lang w:val="en-GB"/>
        </w:rPr>
        <w:t>). If no, please go to question 12).</w:t>
      </w:r>
    </w:p>
    <w:p w:rsidR="000E1CEF" w:rsidRPr="000E1CEF" w:rsidRDefault="000E1CEF" w:rsidP="000E1CEF">
      <w:pPr>
        <w:pStyle w:val="Para-1"/>
        <w:rPr>
          <w:lang w:val="en-GB"/>
        </w:rPr>
      </w:pPr>
      <w:r w:rsidRPr="000E1CEF">
        <w:rPr>
          <w:lang w:val="en-GB"/>
        </w:rPr>
        <w:t>Is the application or registration as described under question 8) above denoted as "bad faith"? If not, what is it called?</w:t>
      </w:r>
    </w:p>
    <w:p w:rsidR="000E1CEF" w:rsidRPr="000E1CEF" w:rsidRDefault="000E1CEF" w:rsidP="000E1CEF">
      <w:pPr>
        <w:pStyle w:val="Para-1"/>
        <w:rPr>
          <w:lang w:val="en-GB"/>
        </w:rPr>
      </w:pPr>
      <w:r w:rsidRPr="000E1CEF">
        <w:rPr>
          <w:lang w:val="en-GB"/>
        </w:rPr>
        <w:t xml:space="preserve">Which of the following </w:t>
      </w:r>
      <w:r w:rsidR="006C6E8E">
        <w:rPr>
          <w:lang w:val="en-GB"/>
        </w:rPr>
        <w:t>factors</w:t>
      </w:r>
      <w:r w:rsidRPr="000E1CEF">
        <w:rPr>
          <w:lang w:val="en-GB"/>
        </w:rPr>
        <w:t xml:space="preserve"> are relevant when assessing whether a trademark as described under question 8) should be refused or cancelled?</w:t>
      </w:r>
    </w:p>
    <w:p w:rsidR="000E1CEF" w:rsidRPr="000E1CEF" w:rsidRDefault="000E1CEF" w:rsidP="000E1CEF">
      <w:pPr>
        <w:spacing w:before="120" w:line="288" w:lineRule="auto"/>
        <w:ind w:left="720"/>
        <w:rPr>
          <w:rFonts w:eastAsiaTheme="minorEastAsia" w:cstheme="minorBidi"/>
          <w:i/>
          <w:lang w:val="en-GB" w:eastAsia="ja-JP"/>
        </w:rPr>
      </w:pPr>
      <w:r w:rsidRPr="000E1CEF">
        <w:rPr>
          <w:rFonts w:eastAsiaTheme="minorEastAsia" w:cstheme="minorBidi"/>
          <w:i/>
          <w:lang w:val="en-GB" w:eastAsia="ja-JP"/>
        </w:rPr>
        <w:t>Please tick or fill in all boxes as applicable to your jurisdiction</w:t>
      </w:r>
      <w:r w:rsidR="006C6E8E">
        <w:rPr>
          <w:rFonts w:eastAsiaTheme="minorEastAsia" w:cstheme="minorBidi"/>
          <w:i/>
          <w:lang w:val="en-GB" w:eastAsia="ja-JP"/>
        </w:rPr>
        <w:t>. If you select "other", please describe further.</w:t>
      </w:r>
    </w:p>
    <w:p w:rsidR="000E1CEF" w:rsidRPr="000E1CEF" w:rsidRDefault="0097319B"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0E1CEF">
        <w:rPr>
          <w:rFonts w:eastAsiaTheme="minorHAnsi" w:cstheme="minorBidi"/>
          <w:lang w:val="en-GB"/>
        </w:rPr>
        <w:tab/>
      </w:r>
      <w:r w:rsidR="000E1CEF" w:rsidRPr="000E1CEF">
        <w:rPr>
          <w:rFonts w:eastAsiaTheme="minorHAnsi" w:cstheme="minorBidi"/>
          <w:lang w:val="en-GB"/>
        </w:rPr>
        <w:t xml:space="preserve">the degree of overlap between the goods/services </w:t>
      </w:r>
    </w:p>
    <w:p w:rsidR="000E1CEF" w:rsidRPr="000E1CEF" w:rsidRDefault="0097319B"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0E1CEF">
        <w:rPr>
          <w:rFonts w:eastAsiaTheme="minorHAnsi" w:cstheme="minorBidi"/>
          <w:lang w:val="en-GB"/>
        </w:rPr>
        <w:tab/>
      </w:r>
      <w:r w:rsidR="000E1CEF" w:rsidRPr="000E1CEF">
        <w:rPr>
          <w:rFonts w:eastAsiaTheme="minorHAnsi" w:cstheme="minorBidi"/>
          <w:lang w:val="en-GB"/>
        </w:rPr>
        <w:t>whether or not the signs are identical</w:t>
      </w:r>
    </w:p>
    <w:p w:rsidR="000E1CEF" w:rsidRPr="000E1CEF" w:rsidRDefault="0097319B"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0E1CEF">
        <w:rPr>
          <w:rFonts w:eastAsiaTheme="minorHAnsi" w:cstheme="minorBidi"/>
          <w:lang w:val="en-GB"/>
        </w:rPr>
        <w:tab/>
      </w:r>
      <w:r w:rsidR="000E1CEF" w:rsidRPr="000E1CEF">
        <w:rPr>
          <w:rFonts w:eastAsiaTheme="minorHAnsi" w:cstheme="minorBidi"/>
          <w:lang w:val="en-GB"/>
        </w:rPr>
        <w:t>if the signs are different, the degree of difference</w:t>
      </w:r>
    </w:p>
    <w:p w:rsidR="000E1CEF" w:rsidRPr="000E1CEF" w:rsidRDefault="0097319B"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0E1CEF">
        <w:rPr>
          <w:rFonts w:eastAsiaTheme="minorHAnsi" w:cstheme="minorBidi"/>
          <w:lang w:val="en-GB"/>
        </w:rPr>
        <w:tab/>
      </w:r>
      <w:r w:rsidR="000E1CEF" w:rsidRPr="000E1CEF">
        <w:rPr>
          <w:rFonts w:eastAsiaTheme="minorHAnsi" w:cstheme="minorBidi"/>
          <w:lang w:val="en-GB"/>
        </w:rPr>
        <w:t>absence or presence of intent to use</w:t>
      </w:r>
    </w:p>
    <w:p w:rsidR="000E1CEF" w:rsidRPr="000E1CEF" w:rsidRDefault="0097319B"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0E1CEF">
        <w:rPr>
          <w:rFonts w:eastAsiaTheme="minorHAnsi" w:cstheme="minorBidi"/>
          <w:lang w:val="en-GB"/>
        </w:rPr>
        <w:tab/>
      </w:r>
      <w:r w:rsidR="000E1CEF" w:rsidRPr="000E1CEF">
        <w:rPr>
          <w:rFonts w:eastAsiaTheme="minorHAnsi" w:cstheme="minorBidi"/>
          <w:lang w:val="en-GB"/>
        </w:rPr>
        <w:t>other intentions (e.g. the filing of an updated version of a trademark to meet evolving market requirements)</w:t>
      </w:r>
    </w:p>
    <w:p w:rsidR="000E1CEF" w:rsidRPr="000E1CEF" w:rsidRDefault="0097319B"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0E1CEF">
        <w:rPr>
          <w:rFonts w:eastAsiaTheme="minorHAnsi" w:cstheme="minorBidi"/>
          <w:lang w:val="en-GB"/>
        </w:rPr>
        <w:tab/>
      </w:r>
      <w:r w:rsidR="000E1CEF" w:rsidRPr="000E1CEF">
        <w:rPr>
          <w:rFonts w:eastAsiaTheme="minorHAnsi" w:cstheme="minorBidi"/>
          <w:lang w:val="en-GB"/>
        </w:rPr>
        <w:t xml:space="preserve">the number of goods/services </w:t>
      </w:r>
    </w:p>
    <w:p w:rsidR="000E1CEF" w:rsidRPr="000E1CEF" w:rsidRDefault="0097319B"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0E1CEF">
        <w:rPr>
          <w:rFonts w:eastAsiaTheme="minorHAnsi" w:cstheme="minorBidi"/>
          <w:lang w:val="en-GB"/>
        </w:rPr>
        <w:tab/>
      </w:r>
      <w:r w:rsidR="00A04824">
        <w:rPr>
          <w:rFonts w:eastAsiaTheme="minorHAnsi" w:cstheme="minorBidi"/>
          <w:lang w:val="en-GB"/>
        </w:rPr>
        <w:t>other</w:t>
      </w:r>
    </w:p>
    <w:p w:rsidR="000E1CEF" w:rsidRPr="000E1CEF" w:rsidRDefault="000E1CEF" w:rsidP="000E1CEF">
      <w:pPr>
        <w:spacing w:before="200" w:line="276" w:lineRule="auto"/>
        <w:ind w:left="720"/>
        <w:rPr>
          <w:rFonts w:eastAsiaTheme="minorHAnsi" w:cstheme="minorBidi"/>
          <w:lang w:val="en-GB"/>
        </w:rPr>
      </w:pPr>
      <w:r w:rsidRPr="000E1CEF">
        <w:rPr>
          <w:rFonts w:eastAsiaTheme="minorHAnsi" w:cstheme="minorBidi"/>
          <w:lang w:val="en-GB"/>
        </w:rPr>
        <w:t xml:space="preserve">Please explain how </w:t>
      </w:r>
      <w:r w:rsidR="00A04824">
        <w:rPr>
          <w:rFonts w:eastAsiaTheme="minorHAnsi" w:cstheme="minorBidi"/>
          <w:lang w:val="en-GB"/>
        </w:rPr>
        <w:t xml:space="preserve">each of </w:t>
      </w:r>
      <w:r w:rsidRPr="000E1CEF">
        <w:rPr>
          <w:rFonts w:eastAsiaTheme="minorHAnsi" w:cstheme="minorBidi"/>
          <w:lang w:val="en-GB"/>
        </w:rPr>
        <w:t xml:space="preserve">the factors </w:t>
      </w:r>
      <w:r w:rsidR="00A04824">
        <w:rPr>
          <w:rFonts w:eastAsiaTheme="minorHAnsi" w:cstheme="minorBidi"/>
          <w:lang w:val="en-GB"/>
        </w:rPr>
        <w:t xml:space="preserve">selected above </w:t>
      </w:r>
      <w:r w:rsidRPr="000E1CEF">
        <w:rPr>
          <w:rFonts w:eastAsiaTheme="minorHAnsi" w:cstheme="minorBidi"/>
          <w:lang w:val="en-GB"/>
        </w:rPr>
        <w:t>influence the assessment.</w:t>
      </w:r>
    </w:p>
    <w:p w:rsidR="000E1CEF" w:rsidRPr="000E1CEF" w:rsidRDefault="000E1CEF" w:rsidP="000E1CEF">
      <w:pPr>
        <w:pStyle w:val="Para-1"/>
        <w:rPr>
          <w:lang w:val="en-GB"/>
        </w:rPr>
      </w:pPr>
      <w:r w:rsidRPr="000E1CEF">
        <w:rPr>
          <w:lang w:val="en-GB"/>
        </w:rPr>
        <w:t>Are the answers to questions 8</w:t>
      </w:r>
      <w:r w:rsidR="00627B36">
        <w:rPr>
          <w:lang w:val="en-GB"/>
        </w:rPr>
        <w:t xml:space="preserve">) </w:t>
      </w:r>
      <w:r w:rsidRPr="000E1CEF">
        <w:rPr>
          <w:lang w:val="en-GB"/>
        </w:rPr>
        <w:t>-10</w:t>
      </w:r>
      <w:r w:rsidR="00627B36">
        <w:rPr>
          <w:lang w:val="en-GB"/>
        </w:rPr>
        <w:t>) above</w:t>
      </w:r>
      <w:r w:rsidRPr="000E1CEF">
        <w:rPr>
          <w:lang w:val="en-GB"/>
        </w:rPr>
        <w:t xml:space="preserve"> different if the previous trademark is no longer in force? Please explain. </w:t>
      </w:r>
    </w:p>
    <w:p w:rsidR="000E1CEF" w:rsidRPr="000E1CEF" w:rsidRDefault="000E1CEF" w:rsidP="000E1CEF">
      <w:pPr>
        <w:keepNext/>
        <w:keepLines/>
        <w:numPr>
          <w:ilvl w:val="1"/>
          <w:numId w:val="0"/>
        </w:numPr>
        <w:spacing w:before="200" w:line="276" w:lineRule="auto"/>
        <w:rPr>
          <w:rFonts w:eastAsiaTheme="minorHAnsi" w:cstheme="minorBidi"/>
          <w:u w:val="single"/>
          <w:lang w:val="en-GB" w:eastAsia="ja-JP"/>
        </w:rPr>
      </w:pPr>
      <w:r w:rsidRPr="000E1CEF">
        <w:rPr>
          <w:rFonts w:eastAsiaTheme="minorHAnsi" w:cstheme="minorBidi"/>
          <w:u w:val="single"/>
          <w:lang w:val="en-GB" w:eastAsia="ja-JP"/>
        </w:rPr>
        <w:t>Defensive mark</w:t>
      </w:r>
      <w:r w:rsidR="00627B36">
        <w:rPr>
          <w:rFonts w:eastAsiaTheme="minorHAnsi" w:cstheme="minorBidi"/>
          <w:u w:val="single"/>
          <w:lang w:val="en-GB" w:eastAsia="ja-JP"/>
        </w:rPr>
        <w:t>s</w:t>
      </w:r>
    </w:p>
    <w:p w:rsidR="000E1CEF" w:rsidRPr="000E1CEF" w:rsidRDefault="000E1CEF" w:rsidP="000E1CEF">
      <w:pPr>
        <w:pStyle w:val="Para-1"/>
        <w:rPr>
          <w:lang w:val="en-GB"/>
        </w:rPr>
      </w:pPr>
      <w:r w:rsidRPr="000E1CEF">
        <w:rPr>
          <w:lang w:val="en-GB"/>
        </w:rPr>
        <w:t xml:space="preserve">Is it permissible under your Group's current law to file a trademark if the trademark owner does not have any intent to use that trademark for part or all of the goods/services claimed? If not, is there a timeframe (and if so, what) for such intention to use (e.g. must the intent be to start use immediately)? </w:t>
      </w:r>
    </w:p>
    <w:p w:rsidR="000E1CEF" w:rsidRPr="0097319B" w:rsidRDefault="000E1CEF" w:rsidP="000E1CEF">
      <w:pPr>
        <w:spacing w:before="200" w:line="276" w:lineRule="auto"/>
        <w:ind w:left="720"/>
        <w:rPr>
          <w:rFonts w:eastAsiaTheme="minorHAnsi" w:cstheme="minorBidi"/>
          <w:i/>
          <w:lang w:val="en-GB"/>
        </w:rPr>
      </w:pPr>
      <w:r w:rsidRPr="0097319B">
        <w:rPr>
          <w:rFonts w:eastAsiaTheme="minorHAnsi" w:cstheme="minorBidi"/>
          <w:i/>
          <w:lang w:val="en-GB"/>
        </w:rPr>
        <w:t xml:space="preserve">If yes, </w:t>
      </w:r>
      <w:r w:rsidR="0097319B">
        <w:rPr>
          <w:rFonts w:eastAsiaTheme="minorHAnsi" w:cstheme="minorBidi"/>
          <w:i/>
          <w:lang w:val="en-GB"/>
        </w:rPr>
        <w:t xml:space="preserve">please answer </w:t>
      </w:r>
      <w:r w:rsidRPr="0097319B">
        <w:rPr>
          <w:rFonts w:eastAsiaTheme="minorHAnsi" w:cstheme="minorBidi"/>
          <w:i/>
          <w:lang w:val="en-GB"/>
        </w:rPr>
        <w:t>question 13</w:t>
      </w:r>
      <w:r w:rsidR="0097319B">
        <w:rPr>
          <w:rFonts w:eastAsiaTheme="minorHAnsi" w:cstheme="minorBidi"/>
          <w:i/>
          <w:lang w:val="en-GB"/>
        </w:rPr>
        <w:t>).</w:t>
      </w:r>
      <w:r w:rsidRPr="0097319B">
        <w:rPr>
          <w:rFonts w:eastAsiaTheme="minorHAnsi" w:cstheme="minorBidi"/>
          <w:i/>
          <w:lang w:val="en-GB"/>
        </w:rPr>
        <w:t xml:space="preserve"> </w:t>
      </w:r>
      <w:r w:rsidR="0097319B">
        <w:rPr>
          <w:rFonts w:eastAsiaTheme="minorHAnsi" w:cstheme="minorBidi"/>
          <w:i/>
          <w:lang w:val="en-GB"/>
        </w:rPr>
        <w:t>If no, please go to question 14).</w:t>
      </w:r>
    </w:p>
    <w:p w:rsidR="000E1CEF" w:rsidRPr="000E1CEF" w:rsidRDefault="000E1CEF" w:rsidP="000E1CEF">
      <w:pPr>
        <w:pStyle w:val="Para-1"/>
        <w:rPr>
          <w:lang w:val="en-GB"/>
        </w:rPr>
      </w:pPr>
      <w:r w:rsidRPr="000E1CEF">
        <w:rPr>
          <w:lang w:val="en-GB"/>
        </w:rPr>
        <w:t>Is the application or registration as described under question 12) above denoted as "bad faith"? If not, what is it called?</w:t>
      </w:r>
    </w:p>
    <w:p w:rsidR="000E1CEF" w:rsidRPr="000E1CEF" w:rsidRDefault="000E1CEF" w:rsidP="000E1CEF">
      <w:pPr>
        <w:spacing w:before="200" w:line="276" w:lineRule="auto"/>
        <w:rPr>
          <w:rFonts w:eastAsiaTheme="minorHAnsi" w:cstheme="minorBidi"/>
          <w:u w:val="single"/>
        </w:rPr>
      </w:pPr>
      <w:r w:rsidRPr="000E1CEF">
        <w:rPr>
          <w:rFonts w:eastAsiaTheme="minorHAnsi" w:cstheme="minorBidi"/>
          <w:u w:val="single"/>
        </w:rPr>
        <w:t>Other</w:t>
      </w:r>
    </w:p>
    <w:p w:rsidR="000E1CEF" w:rsidRPr="000E1CEF" w:rsidRDefault="000E1CEF" w:rsidP="000E1CEF">
      <w:pPr>
        <w:pStyle w:val="Para-1"/>
        <w:rPr>
          <w:lang w:val="en-GB"/>
        </w:rPr>
      </w:pPr>
      <w:r w:rsidRPr="000E1CEF">
        <w:t>Does any other conduct in respect of trademarks, as an independent ground for action, amount to bad faith</w:t>
      </w:r>
      <w:r w:rsidRPr="000E1CEF">
        <w:rPr>
          <w:vertAlign w:val="superscript"/>
        </w:rPr>
        <w:footnoteReference w:id="16"/>
      </w:r>
      <w:r w:rsidRPr="000E1CEF">
        <w:t xml:space="preserve"> </w:t>
      </w:r>
      <w:r w:rsidRPr="000E1CEF">
        <w:rPr>
          <w:lang w:val="en-GB"/>
        </w:rPr>
        <w:t xml:space="preserve">under your Group's current law? If so, </w:t>
      </w:r>
      <w:r w:rsidR="00627B36">
        <w:rPr>
          <w:lang w:val="en-GB"/>
        </w:rPr>
        <w:t>what conduct and how is it denoted, ie as "bad faith" or something else?</w:t>
      </w:r>
    </w:p>
    <w:p w:rsidR="000E1CEF" w:rsidRPr="000E1CEF" w:rsidRDefault="000E1CEF" w:rsidP="000E1CEF">
      <w:pPr>
        <w:spacing w:before="200" w:line="276" w:lineRule="auto"/>
        <w:rPr>
          <w:rFonts w:eastAsiaTheme="minorHAnsi" w:cstheme="minorBidi"/>
          <w:u w:val="single"/>
          <w:lang w:val="en-GB"/>
        </w:rPr>
      </w:pPr>
      <w:r w:rsidRPr="000E1CEF">
        <w:rPr>
          <w:rFonts w:eastAsiaTheme="minorHAnsi" w:cstheme="minorBidi"/>
          <w:u w:val="single"/>
          <w:lang w:val="en-GB"/>
        </w:rPr>
        <w:t xml:space="preserve">Type </w:t>
      </w:r>
      <w:r w:rsidR="00627B36">
        <w:rPr>
          <w:rFonts w:eastAsiaTheme="minorHAnsi" w:cstheme="minorBidi"/>
          <w:u w:val="single"/>
          <w:lang w:val="en-GB"/>
        </w:rPr>
        <w:t xml:space="preserve">of </w:t>
      </w:r>
      <w:r w:rsidRPr="000E1CEF">
        <w:rPr>
          <w:rFonts w:eastAsiaTheme="minorHAnsi" w:cstheme="minorBidi"/>
          <w:u w:val="single"/>
          <w:lang w:val="en-GB"/>
        </w:rPr>
        <w:t>proceedings</w:t>
      </w:r>
    </w:p>
    <w:p w:rsidR="000E1CEF" w:rsidRPr="000E1CEF" w:rsidRDefault="000E1CEF" w:rsidP="000E1CEF">
      <w:pPr>
        <w:pStyle w:val="Para-1"/>
        <w:rPr>
          <w:lang w:val="en-GB"/>
        </w:rPr>
      </w:pPr>
      <w:r w:rsidRPr="000E1CEF">
        <w:rPr>
          <w:lang w:val="en-GB"/>
        </w:rPr>
        <w:t xml:space="preserve">In which proceedings can the grounds, inasfar as they are available under your Group's current law, described </w:t>
      </w:r>
      <w:r w:rsidR="00627B36">
        <w:rPr>
          <w:lang w:val="en-GB"/>
        </w:rPr>
        <w:t>in your response to</w:t>
      </w:r>
      <w:r w:rsidRPr="000E1CEF">
        <w:rPr>
          <w:lang w:val="en-GB"/>
        </w:rPr>
        <w:t xml:space="preserve"> questions 1), 8), 12) and 14) </w:t>
      </w:r>
      <w:r w:rsidR="00627B36">
        <w:rPr>
          <w:lang w:val="en-GB"/>
        </w:rPr>
        <w:t xml:space="preserve">above </w:t>
      </w:r>
      <w:r w:rsidRPr="000E1CEF">
        <w:rPr>
          <w:lang w:val="en-GB"/>
        </w:rPr>
        <w:t>be invoked in your jurisdiction?</w:t>
      </w:r>
    </w:p>
    <w:p w:rsidR="000E1CEF" w:rsidRPr="000E1CEF" w:rsidRDefault="000E1CEF" w:rsidP="000E1CEF">
      <w:pPr>
        <w:spacing w:before="120" w:line="288" w:lineRule="auto"/>
        <w:ind w:left="720"/>
        <w:rPr>
          <w:rFonts w:eastAsiaTheme="minorEastAsia" w:cstheme="minorBidi"/>
          <w:i/>
          <w:lang w:eastAsia="ja-JP"/>
        </w:rPr>
      </w:pPr>
      <w:r w:rsidRPr="000E1CEF">
        <w:rPr>
          <w:rFonts w:eastAsiaTheme="minorEastAsia" w:cstheme="minorBidi"/>
          <w:i/>
          <w:lang w:eastAsia="ja-JP"/>
        </w:rPr>
        <w:t>Please tick or fill in all boxes as applicable to your jurisdiction</w:t>
      </w:r>
      <w:r w:rsidR="00A04824">
        <w:rPr>
          <w:rFonts w:eastAsiaTheme="minorEastAsia" w:cstheme="minorBidi"/>
          <w:i/>
          <w:lang w:eastAsia="ja-JP"/>
        </w:rPr>
        <w:t xml:space="preserve">. </w:t>
      </w:r>
      <w:r w:rsidR="00A04824">
        <w:rPr>
          <w:rFonts w:eastAsiaTheme="minorEastAsia" w:cstheme="minorBidi"/>
          <w:i/>
          <w:lang w:val="en-GB" w:eastAsia="ja-JP"/>
        </w:rPr>
        <w:t>If you select either of the last two boxes, please describe further.</w:t>
      </w:r>
    </w:p>
    <w:p w:rsidR="000E1CEF" w:rsidRPr="000E1CEF" w:rsidRDefault="0097319B" w:rsidP="000E1CEF">
      <w:pPr>
        <w:spacing w:before="200" w:line="276" w:lineRule="auto"/>
        <w:ind w:left="1440" w:hanging="731"/>
        <w:rPr>
          <w:rFonts w:eastAsiaTheme="minorHAnsi" w:cstheme="minorBidi"/>
          <w:i/>
        </w:rPr>
      </w:pPr>
      <w:r>
        <w:rPr>
          <w:rFonts w:eastAsiaTheme="minorHAnsi" w:cstheme="minorBidi"/>
          <w:lang w:val="en-GB"/>
        </w:rPr>
        <w:sym w:font="Wingdings" w:char="F0A8"/>
      </w:r>
      <w:r w:rsidR="000E1CEF">
        <w:rPr>
          <w:rFonts w:eastAsiaTheme="minorHAnsi" w:cstheme="minorBidi"/>
          <w:i/>
        </w:rPr>
        <w:tab/>
      </w:r>
      <w:r w:rsidR="000E1CEF" w:rsidRPr="000E1CEF">
        <w:rPr>
          <w:rFonts w:eastAsiaTheme="minorHAnsi" w:cstheme="minorBidi"/>
          <w:i/>
        </w:rPr>
        <w:t xml:space="preserve">ex officio </w:t>
      </w:r>
      <w:r w:rsidR="000E1CEF" w:rsidRPr="000E1CEF">
        <w:rPr>
          <w:rFonts w:eastAsiaTheme="minorHAnsi" w:cstheme="minorBidi"/>
        </w:rPr>
        <w:t>by the trademark/IP office</w:t>
      </w:r>
    </w:p>
    <w:p w:rsidR="000E1CEF" w:rsidRPr="000E1CEF" w:rsidRDefault="0097319B"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0E1CEF">
        <w:rPr>
          <w:rFonts w:eastAsiaTheme="minorHAnsi" w:cstheme="minorBidi"/>
        </w:rPr>
        <w:tab/>
      </w:r>
      <w:r w:rsidR="000E1CEF" w:rsidRPr="000E1CEF">
        <w:rPr>
          <w:rFonts w:eastAsiaTheme="minorHAnsi" w:cstheme="minorBidi"/>
        </w:rPr>
        <w:t>opposition proceedings (before the trademark/IP office)</w:t>
      </w:r>
    </w:p>
    <w:p w:rsidR="000E1CEF" w:rsidRPr="000E1CEF" w:rsidRDefault="0097319B"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0E1CEF">
        <w:rPr>
          <w:rFonts w:eastAsiaTheme="minorHAnsi" w:cstheme="minorBidi"/>
        </w:rPr>
        <w:tab/>
      </w:r>
      <w:r w:rsidR="000E1CEF" w:rsidRPr="000E1CEF">
        <w:rPr>
          <w:rFonts w:eastAsiaTheme="minorHAnsi" w:cstheme="minorBidi"/>
        </w:rPr>
        <w:t>a cancellation action (before the trademark/IP office)</w:t>
      </w:r>
    </w:p>
    <w:p w:rsidR="000E1CEF" w:rsidRPr="000E1CEF" w:rsidRDefault="0097319B"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0E1CEF">
        <w:rPr>
          <w:rFonts w:eastAsiaTheme="minorHAnsi" w:cstheme="minorBidi"/>
        </w:rPr>
        <w:tab/>
      </w:r>
      <w:r w:rsidR="000E1CEF" w:rsidRPr="000E1CEF">
        <w:rPr>
          <w:rFonts w:eastAsiaTheme="minorHAnsi" w:cstheme="minorBidi"/>
        </w:rPr>
        <w:t>court proceedings concerning a bad faith application</w:t>
      </w:r>
    </w:p>
    <w:p w:rsidR="000E1CEF" w:rsidRPr="000E1CEF" w:rsidRDefault="0097319B"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0E1CEF">
        <w:rPr>
          <w:rFonts w:eastAsiaTheme="minorHAnsi" w:cstheme="minorBidi"/>
        </w:rPr>
        <w:tab/>
      </w:r>
      <w:r w:rsidR="000E1CEF" w:rsidRPr="000E1CEF">
        <w:rPr>
          <w:rFonts w:eastAsiaTheme="minorHAnsi" w:cstheme="minorBidi"/>
        </w:rPr>
        <w:t>court proceedings concerning a bad faith registration</w:t>
      </w:r>
    </w:p>
    <w:p w:rsidR="000E1CEF" w:rsidRPr="000E1CEF" w:rsidRDefault="0097319B"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0E1CEF">
        <w:rPr>
          <w:rFonts w:eastAsiaTheme="minorHAnsi" w:cstheme="minorBidi"/>
        </w:rPr>
        <w:tab/>
      </w:r>
      <w:r w:rsidR="000E1CEF" w:rsidRPr="000E1CEF">
        <w:rPr>
          <w:rFonts w:eastAsiaTheme="minorHAnsi" w:cstheme="minorBidi"/>
        </w:rPr>
        <w:t>it differs per ground</w:t>
      </w:r>
    </w:p>
    <w:p w:rsidR="000E1CEF" w:rsidRPr="000E1CEF" w:rsidRDefault="0097319B"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0E1CEF">
        <w:rPr>
          <w:rFonts w:eastAsiaTheme="minorHAnsi" w:cstheme="minorBidi"/>
        </w:rPr>
        <w:tab/>
      </w:r>
      <w:r w:rsidR="000E1CEF" w:rsidRPr="000E1CEF">
        <w:rPr>
          <w:rFonts w:eastAsiaTheme="minorHAnsi" w:cstheme="minorBidi"/>
        </w:rPr>
        <w:t>other</w:t>
      </w:r>
    </w:p>
    <w:p w:rsidR="000E1CEF" w:rsidRPr="000E1CEF" w:rsidRDefault="000E1CEF" w:rsidP="000E1CEF">
      <w:pPr>
        <w:keepNext/>
        <w:keepLines/>
        <w:numPr>
          <w:ilvl w:val="5"/>
          <w:numId w:val="0"/>
        </w:numPr>
        <w:tabs>
          <w:tab w:val="num" w:pos="709"/>
        </w:tabs>
        <w:spacing w:before="200" w:line="276" w:lineRule="auto"/>
        <w:ind w:left="709" w:hanging="709"/>
        <w:rPr>
          <w:rFonts w:eastAsiaTheme="minorHAnsi" w:cstheme="minorBidi"/>
          <w:b/>
        </w:rPr>
      </w:pPr>
      <w:r w:rsidRPr="000E1CEF">
        <w:rPr>
          <w:rFonts w:eastAsiaTheme="minorHAnsi" w:cstheme="minorBidi"/>
          <w:b/>
        </w:rPr>
        <w:t>Policy considerations and proposals for improvements of your current law</w:t>
      </w:r>
    </w:p>
    <w:p w:rsidR="000E1CEF" w:rsidRDefault="000E1CEF" w:rsidP="000E1CEF">
      <w:pPr>
        <w:pStyle w:val="Para-1"/>
        <w:rPr>
          <w:lang w:val="en-GB"/>
        </w:rPr>
      </w:pPr>
      <w:r w:rsidRPr="000E1CEF">
        <w:rPr>
          <w:lang w:val="en-GB"/>
        </w:rPr>
        <w:t>Could any of the following aspects of your Group's current law be improved?</w:t>
      </w:r>
    </w:p>
    <w:p w:rsidR="00173EFC" w:rsidRPr="00173EFC" w:rsidRDefault="00173EFC" w:rsidP="00173EFC">
      <w:pPr>
        <w:spacing w:before="120" w:line="288" w:lineRule="auto"/>
        <w:ind w:left="720"/>
        <w:rPr>
          <w:rFonts w:eastAsiaTheme="minorEastAsia" w:cstheme="minorBidi"/>
          <w:i/>
          <w:lang w:eastAsia="ja-JP"/>
        </w:rPr>
      </w:pPr>
      <w:r w:rsidRPr="00173EFC">
        <w:rPr>
          <w:rFonts w:eastAsiaTheme="minorEastAsia" w:cstheme="minorBidi"/>
          <w:i/>
          <w:lang w:eastAsia="ja-JP"/>
        </w:rPr>
        <w:t xml:space="preserve">For each of a)-d), please tick or fill in only the applicable box. If </w:t>
      </w:r>
      <w:r w:rsidR="007774E2">
        <w:rPr>
          <w:rFonts w:eastAsiaTheme="minorEastAsia" w:cstheme="minorBidi"/>
          <w:i/>
          <w:lang w:eastAsia="ja-JP"/>
        </w:rPr>
        <w:t>you select "</w:t>
      </w:r>
      <w:r w:rsidRPr="00173EFC">
        <w:rPr>
          <w:rFonts w:eastAsiaTheme="minorEastAsia" w:cstheme="minorBidi"/>
          <w:i/>
          <w:lang w:eastAsia="ja-JP"/>
        </w:rPr>
        <w:t>yes</w:t>
      </w:r>
      <w:r w:rsidR="007774E2">
        <w:rPr>
          <w:rFonts w:eastAsiaTheme="minorEastAsia" w:cstheme="minorBidi"/>
          <w:i/>
          <w:lang w:eastAsia="ja-JP"/>
        </w:rPr>
        <w:t>"</w:t>
      </w:r>
      <w:r w:rsidRPr="00173EFC">
        <w:rPr>
          <w:rFonts w:eastAsiaTheme="minorEastAsia" w:cstheme="minorBidi"/>
          <w:i/>
          <w:lang w:eastAsia="ja-JP"/>
        </w:rPr>
        <w:t>, please explain.</w:t>
      </w:r>
    </w:p>
    <w:p w:rsidR="000E1CEF" w:rsidRPr="000E1CEF" w:rsidRDefault="000E1CEF" w:rsidP="000E1CEF">
      <w:pPr>
        <w:pStyle w:val="Para-a"/>
        <w:rPr>
          <w:lang w:val="en-US"/>
        </w:rPr>
      </w:pPr>
      <w:r w:rsidRPr="000E1CEF">
        <w:rPr>
          <w:lang w:val="en-US"/>
        </w:rPr>
        <w:t>The possibility of taking action against the application or registration of a trademark in a jurisdiction by a Party A, if that trademark or a similar sign is already used in one or more jurisdictions by a Party B, but is not registered in the jurisdiction where Party A has filed the trademark</w:t>
      </w:r>
    </w:p>
    <w:p w:rsidR="000E1CEF" w:rsidRPr="000E1CEF" w:rsidRDefault="0097319B" w:rsidP="000E1CEF">
      <w:pPr>
        <w:spacing w:before="200" w:line="276" w:lineRule="auto"/>
        <w:ind w:left="2149" w:hanging="731"/>
        <w:rPr>
          <w:rFonts w:eastAsiaTheme="minorHAnsi" w:cstheme="minorBidi"/>
          <w:lang w:val="en-US"/>
        </w:rPr>
      </w:pPr>
      <w:r>
        <w:rPr>
          <w:rFonts w:eastAsiaTheme="minorHAnsi" w:cstheme="minorBidi"/>
          <w:lang w:val="en-GB"/>
        </w:rPr>
        <w:sym w:font="Wingdings" w:char="F0A8"/>
      </w:r>
      <w:r>
        <w:rPr>
          <w:rFonts w:eastAsiaTheme="minorHAnsi" w:cstheme="minorBidi"/>
          <w:lang w:val="en-GB"/>
        </w:rPr>
        <w:tab/>
      </w:r>
      <w:r w:rsidR="000E1CEF" w:rsidRPr="000E1CEF">
        <w:rPr>
          <w:rFonts w:eastAsiaTheme="minorHAnsi" w:cstheme="minorBidi"/>
          <w:lang w:val="en-US"/>
        </w:rPr>
        <w:t>Yes</w:t>
      </w:r>
    </w:p>
    <w:p w:rsidR="000E1CEF" w:rsidRPr="000E1CEF" w:rsidRDefault="0097319B" w:rsidP="000E1CEF">
      <w:pPr>
        <w:spacing w:before="200" w:line="276" w:lineRule="auto"/>
        <w:ind w:left="2149" w:hanging="731"/>
        <w:rPr>
          <w:rFonts w:eastAsiaTheme="minorHAnsi" w:cstheme="minorBidi"/>
          <w:lang w:val="en-US"/>
        </w:rPr>
      </w:pPr>
      <w:r>
        <w:rPr>
          <w:rFonts w:eastAsiaTheme="minorHAnsi" w:cstheme="minorBidi"/>
          <w:lang w:val="en-GB"/>
        </w:rPr>
        <w:sym w:font="Wingdings" w:char="F0A8"/>
      </w:r>
      <w:r>
        <w:rPr>
          <w:rFonts w:eastAsiaTheme="minorHAnsi" w:cstheme="minorBidi"/>
          <w:lang w:val="en-GB"/>
        </w:rPr>
        <w:tab/>
      </w:r>
      <w:r w:rsidR="000E1CEF" w:rsidRPr="000E1CEF">
        <w:rPr>
          <w:rFonts w:eastAsiaTheme="minorHAnsi" w:cstheme="minorBidi"/>
          <w:lang w:val="en-US"/>
        </w:rPr>
        <w:t>No</w:t>
      </w:r>
    </w:p>
    <w:p w:rsidR="000E1CEF" w:rsidRPr="000E1CEF" w:rsidRDefault="000E1CEF" w:rsidP="000E1CEF">
      <w:pPr>
        <w:pStyle w:val="Para-a"/>
        <w:rPr>
          <w:lang w:val="en-US"/>
        </w:rPr>
      </w:pPr>
      <w:r w:rsidRPr="000E1CEF">
        <w:rPr>
          <w:lang w:val="en-US"/>
        </w:rPr>
        <w:t xml:space="preserve">The </w:t>
      </w:r>
      <w:r w:rsidR="00225B25" w:rsidRPr="000E1CEF">
        <w:rPr>
          <w:lang w:val="en-US"/>
        </w:rPr>
        <w:t>possibility</w:t>
      </w:r>
      <w:r w:rsidRPr="000E1CEF">
        <w:rPr>
          <w:lang w:val="en-US"/>
        </w:rPr>
        <w:t xml:space="preserve"> of taking action against or refusing the refiling of a trademark by a trademark owner as described above under question 8) above</w:t>
      </w:r>
    </w:p>
    <w:p w:rsidR="000E1CEF" w:rsidRPr="000E1CEF" w:rsidRDefault="0097319B" w:rsidP="000E1CEF">
      <w:pPr>
        <w:spacing w:before="200" w:line="276" w:lineRule="auto"/>
        <w:ind w:left="2149" w:hanging="731"/>
        <w:rPr>
          <w:rFonts w:eastAsiaTheme="minorHAnsi" w:cstheme="minorBidi"/>
          <w:lang w:val="en-US"/>
        </w:rPr>
      </w:pPr>
      <w:r>
        <w:rPr>
          <w:rFonts w:eastAsiaTheme="minorHAnsi" w:cstheme="minorBidi"/>
          <w:lang w:val="en-GB"/>
        </w:rPr>
        <w:sym w:font="Wingdings" w:char="F0A8"/>
      </w:r>
      <w:r>
        <w:rPr>
          <w:rFonts w:eastAsiaTheme="minorHAnsi" w:cstheme="minorBidi"/>
          <w:lang w:val="en-GB"/>
        </w:rPr>
        <w:tab/>
      </w:r>
      <w:r w:rsidR="000E1CEF" w:rsidRPr="000E1CEF">
        <w:rPr>
          <w:rFonts w:eastAsiaTheme="minorHAnsi" w:cstheme="minorBidi"/>
          <w:lang w:val="en-US"/>
        </w:rPr>
        <w:t>Yes</w:t>
      </w:r>
    </w:p>
    <w:p w:rsidR="000E1CEF" w:rsidRPr="000E1CEF" w:rsidRDefault="0097319B" w:rsidP="000E1CEF">
      <w:pPr>
        <w:spacing w:before="200" w:line="276" w:lineRule="auto"/>
        <w:ind w:left="2149" w:hanging="731"/>
        <w:rPr>
          <w:rFonts w:eastAsiaTheme="minorHAnsi" w:cstheme="minorBidi"/>
          <w:lang w:val="en-US"/>
        </w:rPr>
      </w:pPr>
      <w:r>
        <w:rPr>
          <w:rFonts w:eastAsiaTheme="minorHAnsi" w:cstheme="minorBidi"/>
          <w:lang w:val="en-GB"/>
        </w:rPr>
        <w:sym w:font="Wingdings" w:char="F0A8"/>
      </w:r>
      <w:r>
        <w:rPr>
          <w:rFonts w:eastAsiaTheme="minorHAnsi" w:cstheme="minorBidi"/>
          <w:lang w:val="en-GB"/>
        </w:rPr>
        <w:tab/>
      </w:r>
      <w:r w:rsidR="000E1CEF" w:rsidRPr="000E1CEF">
        <w:rPr>
          <w:rFonts w:eastAsiaTheme="minorHAnsi" w:cstheme="minorBidi"/>
          <w:lang w:val="en-US"/>
        </w:rPr>
        <w:t>No</w:t>
      </w:r>
    </w:p>
    <w:p w:rsidR="000E1CEF" w:rsidRPr="000E1CEF" w:rsidRDefault="000E1CEF" w:rsidP="000E1CEF">
      <w:pPr>
        <w:pStyle w:val="Para-a"/>
        <w:rPr>
          <w:lang w:val="en-US"/>
        </w:rPr>
      </w:pPr>
      <w:r w:rsidRPr="000E1CEF">
        <w:rPr>
          <w:lang w:val="en-US"/>
        </w:rPr>
        <w:t>The possibility of taking action against or refusing the filing of a trademark by a trademark owner without an intent to use such for part or all of the goods/services claimed as described above under question 12) above.</w:t>
      </w:r>
    </w:p>
    <w:p w:rsidR="000E1CEF" w:rsidRPr="000E1CEF" w:rsidRDefault="0097319B" w:rsidP="000E1CEF">
      <w:pPr>
        <w:spacing w:before="200" w:line="276" w:lineRule="auto"/>
        <w:ind w:left="2149" w:hanging="731"/>
        <w:rPr>
          <w:rFonts w:eastAsiaTheme="minorHAnsi" w:cstheme="minorBidi"/>
          <w:lang w:val="en-US"/>
        </w:rPr>
      </w:pPr>
      <w:r>
        <w:rPr>
          <w:rFonts w:eastAsiaTheme="minorHAnsi" w:cstheme="minorBidi"/>
          <w:lang w:val="en-GB"/>
        </w:rPr>
        <w:sym w:font="Wingdings" w:char="F0A8"/>
      </w:r>
      <w:r>
        <w:rPr>
          <w:rFonts w:eastAsiaTheme="minorHAnsi" w:cstheme="minorBidi"/>
          <w:lang w:val="en-GB"/>
        </w:rPr>
        <w:tab/>
      </w:r>
      <w:r w:rsidR="000E1CEF" w:rsidRPr="000E1CEF">
        <w:rPr>
          <w:rFonts w:eastAsiaTheme="minorHAnsi" w:cstheme="minorBidi"/>
          <w:lang w:val="en-US"/>
        </w:rPr>
        <w:t>Yes</w:t>
      </w:r>
    </w:p>
    <w:p w:rsidR="000E1CEF" w:rsidRPr="000E1CEF" w:rsidRDefault="0097319B" w:rsidP="000E1CEF">
      <w:pPr>
        <w:spacing w:before="200" w:line="276" w:lineRule="auto"/>
        <w:ind w:left="2149" w:hanging="731"/>
        <w:rPr>
          <w:rFonts w:eastAsiaTheme="minorHAnsi" w:cstheme="minorBidi"/>
          <w:lang w:val="en-US"/>
        </w:rPr>
      </w:pPr>
      <w:r>
        <w:rPr>
          <w:rFonts w:eastAsiaTheme="minorHAnsi" w:cstheme="minorBidi"/>
          <w:lang w:val="en-GB"/>
        </w:rPr>
        <w:sym w:font="Wingdings" w:char="F0A8"/>
      </w:r>
      <w:r>
        <w:rPr>
          <w:rFonts w:eastAsiaTheme="minorHAnsi" w:cstheme="minorBidi"/>
          <w:lang w:val="en-GB"/>
        </w:rPr>
        <w:tab/>
      </w:r>
      <w:r w:rsidR="000E1CEF" w:rsidRPr="000E1CEF">
        <w:rPr>
          <w:rFonts w:eastAsiaTheme="minorHAnsi" w:cstheme="minorBidi"/>
          <w:lang w:val="en-US"/>
        </w:rPr>
        <w:t>No</w:t>
      </w:r>
    </w:p>
    <w:p w:rsidR="000E1CEF" w:rsidRPr="000E1CEF" w:rsidRDefault="000E1CEF" w:rsidP="000E1CEF">
      <w:pPr>
        <w:pStyle w:val="Para-a"/>
        <w:rPr>
          <w:lang w:val="en-US"/>
        </w:rPr>
      </w:pPr>
      <w:r w:rsidRPr="000E1CEF">
        <w:rPr>
          <w:lang w:val="en-US"/>
        </w:rPr>
        <w:t xml:space="preserve">The possibility of taking action against other conduct as described </w:t>
      </w:r>
      <w:r w:rsidR="00627B36">
        <w:rPr>
          <w:lang w:val="en-US"/>
        </w:rPr>
        <w:t>in your response to</w:t>
      </w:r>
      <w:r w:rsidRPr="000E1CEF">
        <w:rPr>
          <w:lang w:val="en-US"/>
        </w:rPr>
        <w:t xml:space="preserve"> question 14) above.</w:t>
      </w:r>
    </w:p>
    <w:p w:rsidR="000E1CEF" w:rsidRPr="000E1CEF" w:rsidRDefault="0097319B" w:rsidP="000E1CEF">
      <w:pPr>
        <w:spacing w:before="200" w:line="276" w:lineRule="auto"/>
        <w:ind w:left="2149" w:hanging="731"/>
        <w:rPr>
          <w:rFonts w:eastAsiaTheme="minorHAnsi" w:cstheme="minorBidi"/>
          <w:lang w:val="en-US"/>
        </w:rPr>
      </w:pPr>
      <w:r>
        <w:rPr>
          <w:rFonts w:eastAsiaTheme="minorHAnsi" w:cstheme="minorBidi"/>
          <w:lang w:val="en-GB"/>
        </w:rPr>
        <w:sym w:font="Wingdings" w:char="F0A8"/>
      </w:r>
      <w:r>
        <w:rPr>
          <w:rFonts w:eastAsiaTheme="minorHAnsi" w:cstheme="minorBidi"/>
          <w:lang w:val="en-GB"/>
        </w:rPr>
        <w:tab/>
      </w:r>
      <w:r w:rsidR="000E1CEF" w:rsidRPr="000E1CEF">
        <w:rPr>
          <w:rFonts w:eastAsiaTheme="minorHAnsi" w:cstheme="minorBidi"/>
          <w:lang w:val="en-US"/>
        </w:rPr>
        <w:t>Yes</w:t>
      </w:r>
    </w:p>
    <w:p w:rsidR="000E1CEF" w:rsidRPr="000E1CEF" w:rsidRDefault="0097319B" w:rsidP="000E1CEF">
      <w:pPr>
        <w:spacing w:before="200" w:line="276" w:lineRule="auto"/>
        <w:ind w:left="2149" w:hanging="731"/>
        <w:rPr>
          <w:rFonts w:eastAsiaTheme="minorHAnsi" w:cstheme="minorBidi"/>
          <w:lang w:val="en-US"/>
        </w:rPr>
      </w:pPr>
      <w:r>
        <w:rPr>
          <w:rFonts w:eastAsiaTheme="minorHAnsi" w:cstheme="minorBidi"/>
          <w:lang w:val="en-GB"/>
        </w:rPr>
        <w:sym w:font="Wingdings" w:char="F0A8"/>
      </w:r>
      <w:r>
        <w:rPr>
          <w:rFonts w:eastAsiaTheme="minorHAnsi" w:cstheme="minorBidi"/>
          <w:lang w:val="en-GB"/>
        </w:rPr>
        <w:tab/>
      </w:r>
      <w:r w:rsidR="000E1CEF" w:rsidRPr="000E1CEF">
        <w:rPr>
          <w:rFonts w:eastAsiaTheme="minorHAnsi" w:cstheme="minorBidi"/>
          <w:lang w:val="en-US"/>
        </w:rPr>
        <w:t>No</w:t>
      </w:r>
    </w:p>
    <w:p w:rsidR="000E1CEF" w:rsidRPr="000E1CEF" w:rsidRDefault="000E1CEF" w:rsidP="000E1CEF">
      <w:pPr>
        <w:pStyle w:val="Para-1"/>
      </w:pPr>
      <w:r w:rsidRPr="000E1CEF">
        <w:t>Are there any other policy considerations and/or proposals for improvement to your current law falling within the scope of this Study Question?</w:t>
      </w:r>
    </w:p>
    <w:p w:rsidR="000E1CEF" w:rsidRPr="000E1CEF" w:rsidRDefault="000E1CEF" w:rsidP="000E1CEF">
      <w:pPr>
        <w:keepNext/>
        <w:keepLines/>
        <w:numPr>
          <w:ilvl w:val="5"/>
          <w:numId w:val="0"/>
        </w:numPr>
        <w:tabs>
          <w:tab w:val="num" w:pos="709"/>
        </w:tabs>
        <w:spacing w:before="200" w:line="276" w:lineRule="auto"/>
        <w:ind w:left="709" w:hanging="709"/>
        <w:rPr>
          <w:rFonts w:eastAsiaTheme="minorHAnsi" w:cstheme="minorBidi"/>
          <w:b/>
        </w:rPr>
      </w:pPr>
      <w:r w:rsidRPr="000E1CEF">
        <w:rPr>
          <w:rFonts w:eastAsiaTheme="minorHAnsi" w:cstheme="minorBidi"/>
          <w:b/>
        </w:rPr>
        <w:t>Proposals for harmonisation</w:t>
      </w:r>
    </w:p>
    <w:p w:rsidR="000E1CEF" w:rsidRPr="000E1CEF" w:rsidRDefault="000E1CEF" w:rsidP="000E1CEF">
      <w:pPr>
        <w:pStyle w:val="Para-1"/>
      </w:pPr>
      <w:r w:rsidRPr="000E1CEF">
        <w:t>Does your Group consider that harmonisation in any or all of the four areas described in question 16) above is desirable?</w:t>
      </w:r>
    </w:p>
    <w:p w:rsidR="000E1CEF" w:rsidRDefault="000E1CEF" w:rsidP="000E1CEF">
      <w:pPr>
        <w:spacing w:before="120" w:line="288" w:lineRule="auto"/>
        <w:ind w:left="720"/>
        <w:rPr>
          <w:rFonts w:eastAsiaTheme="minorEastAsia" w:cstheme="minorBidi"/>
          <w:i/>
          <w:iCs/>
          <w:lang w:eastAsia="ja-JP"/>
        </w:rPr>
      </w:pPr>
      <w:r w:rsidRPr="000E1CEF">
        <w:rPr>
          <w:rFonts w:eastAsiaTheme="minorEastAsia" w:cstheme="minorBidi"/>
          <w:i/>
          <w:iCs/>
          <w:lang w:eastAsia="ja-JP"/>
        </w:rPr>
        <w:t>If yes, please respond to the following questions without regard to your Group's current law.</w:t>
      </w:r>
    </w:p>
    <w:p w:rsidR="00457AEF" w:rsidRPr="000E1CEF" w:rsidRDefault="00457AEF" w:rsidP="000E1CEF">
      <w:pPr>
        <w:spacing w:before="120" w:line="288" w:lineRule="auto"/>
        <w:ind w:left="720"/>
        <w:rPr>
          <w:rFonts w:eastAsiaTheme="minorEastAsia" w:cstheme="minorBidi"/>
          <w:i/>
          <w:lang w:eastAsia="ja-JP"/>
        </w:rPr>
      </w:pPr>
      <w:r>
        <w:rPr>
          <w:rFonts w:eastAsiaTheme="minorEastAsia" w:cstheme="minorBidi"/>
          <w:i/>
          <w:iCs/>
          <w:lang w:eastAsia="ja-JP"/>
        </w:rPr>
        <w:t>Even if no, please address the following questions to the extent your Group considers your Group's current law could be improved.</w:t>
      </w:r>
    </w:p>
    <w:p w:rsidR="000E1CEF" w:rsidRDefault="000E1CEF" w:rsidP="000E1CEF">
      <w:pPr>
        <w:pStyle w:val="Para-1"/>
        <w:rPr>
          <w:lang w:val="en-GB"/>
        </w:rPr>
      </w:pPr>
      <w:r w:rsidRPr="000E1CEF">
        <w:rPr>
          <w:lang w:val="en-GB"/>
        </w:rPr>
        <w:t>Does your Group consider there should be a harmonised definition of bad faith?</w:t>
      </w:r>
    </w:p>
    <w:p w:rsidR="00457AEF" w:rsidRPr="00457AEF" w:rsidRDefault="00A04824" w:rsidP="00457AEF">
      <w:pPr>
        <w:spacing w:before="120" w:line="288" w:lineRule="auto"/>
        <w:ind w:left="720"/>
        <w:rPr>
          <w:rFonts w:eastAsiaTheme="minorEastAsia" w:cstheme="minorBidi"/>
          <w:i/>
          <w:iCs/>
          <w:lang w:eastAsia="ja-JP"/>
        </w:rPr>
      </w:pPr>
      <w:r>
        <w:rPr>
          <w:rFonts w:eastAsiaTheme="minorEastAsia" w:cstheme="minorBidi"/>
          <w:i/>
          <w:iCs/>
          <w:lang w:eastAsia="ja-JP"/>
        </w:rPr>
        <w:t xml:space="preserve">Please tick or fill in only the applicable box. If you have different reasons </w:t>
      </w:r>
      <w:r w:rsidR="00173EFC">
        <w:rPr>
          <w:rFonts w:eastAsiaTheme="minorEastAsia" w:cstheme="minorBidi"/>
          <w:i/>
          <w:iCs/>
          <w:lang w:eastAsia="ja-JP"/>
        </w:rPr>
        <w:t xml:space="preserve">for </w:t>
      </w:r>
      <w:r>
        <w:rPr>
          <w:rFonts w:eastAsiaTheme="minorEastAsia" w:cstheme="minorBidi"/>
          <w:i/>
          <w:iCs/>
          <w:lang w:eastAsia="ja-JP"/>
        </w:rPr>
        <w:t>selecting "no" or "yes" to those identified, please expla</w:t>
      </w:r>
      <w:r w:rsidR="00173EFC">
        <w:rPr>
          <w:rFonts w:eastAsiaTheme="minorEastAsia" w:cstheme="minorBidi"/>
          <w:i/>
          <w:iCs/>
          <w:lang w:eastAsia="ja-JP"/>
        </w:rPr>
        <w:t>i</w:t>
      </w:r>
      <w:r>
        <w:rPr>
          <w:rFonts w:eastAsiaTheme="minorEastAsia" w:cstheme="minorBidi"/>
          <w:i/>
          <w:iCs/>
          <w:lang w:eastAsia="ja-JP"/>
        </w:rPr>
        <w:t>n.</w:t>
      </w:r>
    </w:p>
    <w:p w:rsidR="000E1CEF" w:rsidRPr="00A04824" w:rsidRDefault="00A04824" w:rsidP="00A04824">
      <w:pPr>
        <w:spacing w:before="200" w:line="276" w:lineRule="auto"/>
        <w:ind w:left="1418" w:hanging="709"/>
        <w:rPr>
          <w:rFonts w:eastAsiaTheme="minorHAnsi" w:cstheme="minorBidi"/>
          <w:lang w:val="en-GB"/>
        </w:rPr>
      </w:pPr>
      <w:r>
        <w:rPr>
          <w:rFonts w:eastAsiaTheme="minorHAnsi" w:cstheme="minorBidi"/>
          <w:lang w:val="en-GB"/>
        </w:rPr>
        <w:sym w:font="Wingdings" w:char="F0A8"/>
      </w:r>
      <w:r>
        <w:rPr>
          <w:rFonts w:eastAsiaTheme="minorHAnsi" w:cstheme="minorBidi"/>
          <w:lang w:val="en-GB"/>
        </w:rPr>
        <w:tab/>
      </w:r>
      <w:r w:rsidR="000E1CEF" w:rsidRPr="00A04824">
        <w:rPr>
          <w:rFonts w:eastAsiaTheme="minorHAnsi" w:cstheme="minorBidi"/>
          <w:lang w:val="en-GB"/>
        </w:rPr>
        <w:t>No; identifying circumstances that can be relevant in assessing whether the types of conduct identified above under question 16) are allowed can be helpful, but a definition as such does n</w:t>
      </w:r>
      <w:r w:rsidR="00173EFC">
        <w:rPr>
          <w:rFonts w:eastAsiaTheme="minorHAnsi" w:cstheme="minorBidi"/>
          <w:lang w:val="en-GB"/>
        </w:rPr>
        <w:t>ot allow sufficient flexibility</w:t>
      </w:r>
    </w:p>
    <w:p w:rsidR="000E1CEF" w:rsidRPr="00A04824" w:rsidRDefault="00B164BF" w:rsidP="00B164BF">
      <w:pPr>
        <w:spacing w:before="200" w:line="276" w:lineRule="auto"/>
        <w:ind w:left="1418" w:hanging="709"/>
        <w:rPr>
          <w:rFonts w:eastAsiaTheme="minorHAnsi" w:cstheme="minorBidi"/>
          <w:lang w:val="en-GB"/>
        </w:rPr>
      </w:pPr>
      <w:r>
        <w:rPr>
          <w:rFonts w:eastAsiaTheme="minorHAnsi" w:cstheme="minorBidi"/>
          <w:lang w:val="en-GB"/>
        </w:rPr>
        <w:sym w:font="Wingdings" w:char="F0A8"/>
      </w:r>
      <w:r>
        <w:rPr>
          <w:rFonts w:eastAsiaTheme="minorHAnsi" w:cstheme="minorBidi"/>
          <w:lang w:val="en-GB"/>
        </w:rPr>
        <w:tab/>
      </w:r>
      <w:r w:rsidR="000E1CEF" w:rsidRPr="00A04824">
        <w:rPr>
          <w:rFonts w:eastAsiaTheme="minorHAnsi" w:cstheme="minorBidi"/>
          <w:lang w:val="en-GB"/>
        </w:rPr>
        <w:t>No</w:t>
      </w:r>
    </w:p>
    <w:p w:rsidR="000E1CEF" w:rsidRPr="00A04824" w:rsidRDefault="00B164BF" w:rsidP="00B164BF">
      <w:pPr>
        <w:spacing w:before="200" w:line="276" w:lineRule="auto"/>
        <w:ind w:left="1418" w:hanging="709"/>
        <w:rPr>
          <w:rFonts w:eastAsiaTheme="minorHAnsi" w:cstheme="minorBidi"/>
          <w:lang w:val="en-GB"/>
        </w:rPr>
      </w:pPr>
      <w:r>
        <w:rPr>
          <w:rFonts w:eastAsiaTheme="minorHAnsi" w:cstheme="minorBidi"/>
          <w:lang w:val="en-GB"/>
        </w:rPr>
        <w:sym w:font="Wingdings" w:char="F0A8"/>
      </w:r>
      <w:r>
        <w:rPr>
          <w:rFonts w:eastAsiaTheme="minorHAnsi" w:cstheme="minorBidi"/>
          <w:lang w:val="en-GB"/>
        </w:rPr>
        <w:tab/>
      </w:r>
      <w:r w:rsidR="000E1CEF" w:rsidRPr="00A04824">
        <w:rPr>
          <w:rFonts w:eastAsiaTheme="minorHAnsi" w:cstheme="minorBidi"/>
          <w:lang w:val="en-GB"/>
        </w:rPr>
        <w:t>Yes; such would increas</w:t>
      </w:r>
      <w:r w:rsidR="00173EFC">
        <w:rPr>
          <w:rFonts w:eastAsiaTheme="minorHAnsi" w:cstheme="minorBidi"/>
          <w:lang w:val="en-GB"/>
        </w:rPr>
        <w:t>e the level of legal certainty</w:t>
      </w:r>
    </w:p>
    <w:p w:rsidR="000E1CEF" w:rsidRPr="00A04824" w:rsidRDefault="00B164BF" w:rsidP="00B164BF">
      <w:pPr>
        <w:spacing w:before="200" w:line="276" w:lineRule="auto"/>
        <w:ind w:left="1418" w:hanging="709"/>
        <w:rPr>
          <w:rFonts w:eastAsiaTheme="minorHAnsi" w:cstheme="minorBidi"/>
          <w:lang w:val="en-GB"/>
        </w:rPr>
      </w:pPr>
      <w:r>
        <w:rPr>
          <w:rFonts w:eastAsiaTheme="minorHAnsi" w:cstheme="minorBidi"/>
          <w:lang w:val="en-GB"/>
        </w:rPr>
        <w:sym w:font="Wingdings" w:char="F0A8"/>
      </w:r>
      <w:r>
        <w:rPr>
          <w:rFonts w:eastAsiaTheme="minorHAnsi" w:cstheme="minorBidi"/>
          <w:lang w:val="en-GB"/>
        </w:rPr>
        <w:tab/>
      </w:r>
      <w:r w:rsidR="000E1CEF" w:rsidRPr="00A04824">
        <w:rPr>
          <w:rFonts w:eastAsiaTheme="minorHAnsi" w:cstheme="minorBidi"/>
          <w:lang w:val="en-GB"/>
        </w:rPr>
        <w:t>Yes</w:t>
      </w:r>
    </w:p>
    <w:p w:rsidR="000E1CEF" w:rsidRPr="000E1CEF" w:rsidRDefault="000E1CEF" w:rsidP="000E1CEF">
      <w:pPr>
        <w:keepNext/>
        <w:keepLines/>
        <w:numPr>
          <w:ilvl w:val="1"/>
          <w:numId w:val="0"/>
        </w:numPr>
        <w:spacing w:before="200" w:line="276" w:lineRule="auto"/>
        <w:rPr>
          <w:rFonts w:eastAsiaTheme="minorHAnsi" w:cstheme="minorBidi"/>
          <w:u w:val="single"/>
          <w:lang w:val="en-GB" w:eastAsia="ja-JP"/>
        </w:rPr>
      </w:pPr>
      <w:r w:rsidRPr="000E1CEF">
        <w:rPr>
          <w:rFonts w:eastAsiaTheme="minorHAnsi" w:cstheme="minorBidi"/>
          <w:u w:val="single"/>
          <w:lang w:val="en-GB" w:eastAsia="ja-JP"/>
        </w:rPr>
        <w:t>Bad faith - third party use or filing</w:t>
      </w:r>
    </w:p>
    <w:p w:rsidR="000E1CEF" w:rsidRPr="000E1CEF" w:rsidRDefault="000E1CEF" w:rsidP="000E1CEF">
      <w:pPr>
        <w:pStyle w:val="Para-1"/>
        <w:rPr>
          <w:lang w:val="en-GB"/>
        </w:rPr>
      </w:pPr>
      <w:r w:rsidRPr="000E1CEF">
        <w:rPr>
          <w:lang w:val="en-GB"/>
        </w:rPr>
        <w:t>Should it be possible to take action against the application or registration for a trademark in a jurisdiction by a Party A, if that trademark or a similar sign is already used in one or more jurisdictions by a Party B, but is not registered in the jurisdiction where Party A has filed the trademark?</w:t>
      </w:r>
    </w:p>
    <w:p w:rsidR="000E1CEF" w:rsidRPr="005E4348" w:rsidRDefault="000E1CEF" w:rsidP="000E1CEF">
      <w:pPr>
        <w:spacing w:before="200" w:line="276" w:lineRule="auto"/>
        <w:ind w:left="720"/>
        <w:rPr>
          <w:rFonts w:eastAsiaTheme="minorHAnsi" w:cstheme="minorBidi"/>
          <w:i/>
        </w:rPr>
      </w:pPr>
      <w:r w:rsidRPr="005E4348">
        <w:rPr>
          <w:rFonts w:eastAsiaTheme="minorHAnsi" w:cstheme="minorBidi"/>
          <w:i/>
        </w:rPr>
        <w:t xml:space="preserve">If yes, </w:t>
      </w:r>
      <w:r w:rsidR="005E4348">
        <w:rPr>
          <w:rFonts w:eastAsiaTheme="minorHAnsi" w:cstheme="minorBidi"/>
          <w:i/>
        </w:rPr>
        <w:t>please answer</w:t>
      </w:r>
      <w:r w:rsidRPr="005E4348">
        <w:rPr>
          <w:rFonts w:eastAsiaTheme="minorHAnsi" w:cstheme="minorBidi"/>
          <w:i/>
        </w:rPr>
        <w:t xml:space="preserve"> questions 21</w:t>
      </w:r>
      <w:r w:rsidR="005E4348">
        <w:rPr>
          <w:rFonts w:eastAsiaTheme="minorHAnsi" w:cstheme="minorBidi"/>
          <w:i/>
        </w:rPr>
        <w:t xml:space="preserve">) – </w:t>
      </w:r>
      <w:r w:rsidRPr="005E4348">
        <w:rPr>
          <w:rFonts w:eastAsiaTheme="minorHAnsi" w:cstheme="minorBidi"/>
          <w:i/>
        </w:rPr>
        <w:t>25</w:t>
      </w:r>
      <w:r w:rsidR="005E4348">
        <w:rPr>
          <w:rFonts w:eastAsiaTheme="minorHAnsi" w:cstheme="minorBidi"/>
          <w:i/>
        </w:rPr>
        <w:t xml:space="preserve">). If no, please go to </w:t>
      </w:r>
      <w:r w:rsidR="00BF343C">
        <w:rPr>
          <w:rFonts w:eastAsiaTheme="minorHAnsi" w:cstheme="minorBidi"/>
          <w:i/>
        </w:rPr>
        <w:t xml:space="preserve">question </w:t>
      </w:r>
      <w:r w:rsidR="005E4348">
        <w:rPr>
          <w:rFonts w:eastAsiaTheme="minorHAnsi" w:cstheme="minorBidi"/>
          <w:i/>
        </w:rPr>
        <w:t>26).</w:t>
      </w:r>
    </w:p>
    <w:p w:rsidR="000E1CEF" w:rsidRPr="000E1CEF" w:rsidRDefault="000E1CEF" w:rsidP="000E1CEF">
      <w:pPr>
        <w:pStyle w:val="Para-1"/>
        <w:rPr>
          <w:lang w:val="en-GB"/>
        </w:rPr>
      </w:pPr>
      <w:r w:rsidRPr="000E1CEF">
        <w:rPr>
          <w:lang w:val="en-GB"/>
        </w:rPr>
        <w:t>Which of the following should be relevant factors for proving an application or registration as described under question 20)?</w:t>
      </w:r>
    </w:p>
    <w:p w:rsidR="000E1CEF" w:rsidRPr="000E1CEF" w:rsidRDefault="000E1CEF" w:rsidP="000E1CEF">
      <w:pPr>
        <w:spacing w:before="120" w:line="288" w:lineRule="auto"/>
        <w:ind w:left="720"/>
        <w:rPr>
          <w:rFonts w:eastAsiaTheme="minorEastAsia" w:cstheme="minorBidi"/>
          <w:i/>
          <w:lang w:val="en-GB" w:eastAsia="ja-JP"/>
        </w:rPr>
      </w:pPr>
      <w:r w:rsidRPr="000E1CEF">
        <w:rPr>
          <w:rFonts w:eastAsiaTheme="minorEastAsia" w:cstheme="minorBidi"/>
          <w:i/>
          <w:lang w:val="en-GB" w:eastAsia="ja-JP"/>
        </w:rPr>
        <w:t>Please tick or fill in all relevant boxes</w:t>
      </w:r>
      <w:r w:rsidR="00B164BF">
        <w:rPr>
          <w:rFonts w:eastAsiaTheme="minorEastAsia" w:cstheme="minorBidi"/>
          <w:i/>
          <w:lang w:val="en-GB" w:eastAsia="ja-JP"/>
        </w:rPr>
        <w:t>. If you select "other", please describe further.</w:t>
      </w:r>
    </w:p>
    <w:p w:rsidR="000E1CEF" w:rsidRPr="000E1CEF" w:rsidRDefault="005E4348"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194386">
        <w:rPr>
          <w:rFonts w:eastAsiaTheme="minorHAnsi" w:cstheme="minorBidi"/>
          <w:lang w:val="en-US"/>
        </w:rPr>
        <w:tab/>
      </w:r>
      <w:r w:rsidR="000E1CEF" w:rsidRPr="000E1CEF">
        <w:rPr>
          <w:rFonts w:eastAsiaTheme="minorHAnsi" w:cstheme="minorBidi"/>
          <w:lang w:val="en-US"/>
        </w:rPr>
        <w:t>Party</w:t>
      </w:r>
      <w:r w:rsidR="000E1CEF" w:rsidRPr="000E1CEF">
        <w:rPr>
          <w:rFonts w:eastAsiaTheme="minorHAnsi" w:cstheme="minorBidi"/>
        </w:rPr>
        <w:t xml:space="preserve"> A knows, or should reasonably be aware, of use of an identical or similar sign abroad </w:t>
      </w:r>
      <w:r w:rsidR="00B164BF">
        <w:rPr>
          <w:rFonts w:eastAsiaTheme="minorHAnsi" w:cstheme="minorBidi"/>
        </w:rPr>
        <w:t>for identical goods or services</w:t>
      </w:r>
    </w:p>
    <w:p w:rsidR="000E1CEF" w:rsidRPr="000E1CEF" w:rsidRDefault="005E4348" w:rsidP="000E1CEF">
      <w:pPr>
        <w:spacing w:before="200" w:line="276" w:lineRule="auto"/>
        <w:ind w:left="1440" w:hanging="731"/>
        <w:rPr>
          <w:rFonts w:eastAsiaTheme="minorHAnsi" w:cstheme="minorBidi"/>
          <w:lang w:val="en-US"/>
        </w:rPr>
      </w:pPr>
      <w:r>
        <w:rPr>
          <w:rFonts w:eastAsiaTheme="minorHAnsi" w:cstheme="minorBidi"/>
          <w:lang w:val="en-GB"/>
        </w:rPr>
        <w:sym w:font="Wingdings" w:char="F0A8"/>
      </w:r>
      <w:r w:rsidR="00194386">
        <w:rPr>
          <w:rFonts w:eastAsiaTheme="minorHAnsi" w:cstheme="minorBidi"/>
          <w:lang w:val="en-US"/>
        </w:rPr>
        <w:tab/>
      </w:r>
      <w:r w:rsidR="000E1CEF" w:rsidRPr="000E1CEF">
        <w:rPr>
          <w:rFonts w:eastAsiaTheme="minorHAnsi" w:cstheme="minorBidi"/>
          <w:lang w:val="en-US"/>
        </w:rPr>
        <w:t>Party A knows, or should reasonably be aware, of use of an identical or similar sign abroa</w:t>
      </w:r>
      <w:r w:rsidR="00B164BF">
        <w:rPr>
          <w:rFonts w:eastAsiaTheme="minorHAnsi" w:cstheme="minorBidi"/>
          <w:lang w:val="en-US"/>
        </w:rPr>
        <w:t>d for similar goods or services</w:t>
      </w:r>
    </w:p>
    <w:p w:rsidR="000E1CEF" w:rsidRPr="000E1CEF" w:rsidRDefault="005E4348"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194386">
        <w:rPr>
          <w:rFonts w:eastAsiaTheme="minorHAnsi" w:cstheme="minorBidi"/>
        </w:rPr>
        <w:tab/>
      </w:r>
      <w:r w:rsidR="000E1CEF" w:rsidRPr="000E1CEF">
        <w:rPr>
          <w:rFonts w:eastAsiaTheme="minorHAnsi" w:cstheme="minorBidi"/>
        </w:rPr>
        <w:t xml:space="preserve">Party A knows, or should reasonably be aware, of use of an identical or similar sign in the same jurisdiction </w:t>
      </w:r>
      <w:r w:rsidR="00B164BF">
        <w:rPr>
          <w:rFonts w:eastAsiaTheme="minorHAnsi" w:cstheme="minorBidi"/>
        </w:rPr>
        <w:t>for identical goods or services</w:t>
      </w:r>
    </w:p>
    <w:p w:rsidR="000E1CEF" w:rsidRPr="000E1CEF" w:rsidRDefault="005E4348" w:rsidP="000E1CEF">
      <w:pPr>
        <w:spacing w:before="200" w:line="276" w:lineRule="auto"/>
        <w:ind w:left="1440" w:hanging="731"/>
        <w:rPr>
          <w:rFonts w:eastAsiaTheme="minorHAnsi" w:cstheme="minorBidi"/>
          <w:lang w:val="en-US"/>
        </w:rPr>
      </w:pPr>
      <w:r>
        <w:rPr>
          <w:rFonts w:eastAsiaTheme="minorHAnsi" w:cstheme="minorBidi"/>
          <w:lang w:val="en-GB"/>
        </w:rPr>
        <w:sym w:font="Wingdings" w:char="F0A8"/>
      </w:r>
      <w:r w:rsidR="00194386">
        <w:rPr>
          <w:rFonts w:eastAsiaTheme="minorHAnsi" w:cstheme="minorBidi"/>
          <w:lang w:val="en-US"/>
        </w:rPr>
        <w:tab/>
      </w:r>
      <w:r w:rsidR="000E1CEF" w:rsidRPr="000E1CEF">
        <w:rPr>
          <w:rFonts w:eastAsiaTheme="minorHAnsi" w:cstheme="minorBidi"/>
          <w:lang w:val="en-US"/>
        </w:rPr>
        <w:t>Party A knows, or should reasonably be aware, of use of an identical or similar sign in the same jurisdictio</w:t>
      </w:r>
      <w:r w:rsidR="00B164BF">
        <w:rPr>
          <w:rFonts w:eastAsiaTheme="minorHAnsi" w:cstheme="minorBidi"/>
          <w:lang w:val="en-US"/>
        </w:rPr>
        <w:t>n for similar goods or services</w:t>
      </w:r>
    </w:p>
    <w:p w:rsidR="000E1CEF" w:rsidRPr="000E1CEF" w:rsidRDefault="005E4348"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194386">
        <w:rPr>
          <w:rFonts w:eastAsiaTheme="minorHAnsi" w:cstheme="minorBidi"/>
        </w:rPr>
        <w:tab/>
      </w:r>
      <w:r w:rsidR="000E1CEF" w:rsidRPr="000E1CEF">
        <w:rPr>
          <w:rFonts w:eastAsiaTheme="minorHAnsi" w:cstheme="minorBidi"/>
        </w:rPr>
        <w:t>Party A intends to prevent Party B from continuing to use the earlier sign or to only allow such under certain condit</w:t>
      </w:r>
      <w:r w:rsidR="00B164BF">
        <w:rPr>
          <w:rFonts w:eastAsiaTheme="minorHAnsi" w:cstheme="minorBidi"/>
        </w:rPr>
        <w:t>ions (e.g. a license)</w:t>
      </w:r>
    </w:p>
    <w:p w:rsidR="000E1CEF" w:rsidRPr="000E1CEF" w:rsidRDefault="005E4348"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194386">
        <w:rPr>
          <w:rFonts w:eastAsiaTheme="minorHAnsi" w:cstheme="minorBidi"/>
        </w:rPr>
        <w:tab/>
      </w:r>
      <w:r w:rsidR="000E1CEF" w:rsidRPr="000E1CEF">
        <w:rPr>
          <w:rFonts w:eastAsiaTheme="minorHAnsi" w:cstheme="minorBidi"/>
        </w:rPr>
        <w:t>the degree of legal protection enjoyed by Party B's si</w:t>
      </w:r>
      <w:r w:rsidR="00B164BF">
        <w:rPr>
          <w:rFonts w:eastAsiaTheme="minorHAnsi" w:cstheme="minorBidi"/>
        </w:rPr>
        <w:t>gn and the sign used by party A</w:t>
      </w:r>
    </w:p>
    <w:p w:rsidR="000E1CEF" w:rsidRPr="000E1CEF" w:rsidRDefault="005E4348"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194386">
        <w:rPr>
          <w:rFonts w:eastAsiaTheme="minorHAnsi" w:cstheme="minorBidi"/>
        </w:rPr>
        <w:tab/>
      </w:r>
      <w:r w:rsidR="000E1CEF" w:rsidRPr="000E1CEF">
        <w:rPr>
          <w:rFonts w:eastAsiaTheme="minorHAnsi" w:cstheme="minorBidi"/>
        </w:rPr>
        <w:t>other</w:t>
      </w:r>
    </w:p>
    <w:p w:rsidR="000E1CEF" w:rsidRPr="000E1CEF" w:rsidRDefault="000E1CEF" w:rsidP="00194386">
      <w:pPr>
        <w:pStyle w:val="Para-1"/>
        <w:rPr>
          <w:lang w:val="en-GB"/>
        </w:rPr>
      </w:pPr>
      <w:r w:rsidRPr="000E1CEF">
        <w:rPr>
          <w:lang w:val="en-GB"/>
        </w:rPr>
        <w:t xml:space="preserve">Should </w:t>
      </w:r>
      <w:r w:rsidR="00627B36">
        <w:rPr>
          <w:lang w:val="en-GB"/>
        </w:rPr>
        <w:t xml:space="preserve">any </w:t>
      </w:r>
      <w:r w:rsidRPr="000E1CEF">
        <w:rPr>
          <w:lang w:val="en-GB"/>
        </w:rPr>
        <w:t xml:space="preserve">one or more of the above factors be sufficient on </w:t>
      </w:r>
      <w:r w:rsidR="00B164BF">
        <w:rPr>
          <w:lang w:val="en-GB"/>
        </w:rPr>
        <w:t>their</w:t>
      </w:r>
      <w:r w:rsidRPr="000E1CEF">
        <w:rPr>
          <w:lang w:val="en-GB"/>
        </w:rPr>
        <w:t xml:space="preserve"> own</w:t>
      </w:r>
      <w:r w:rsidR="00627B36">
        <w:rPr>
          <w:lang w:val="en-GB"/>
        </w:rPr>
        <w:t>,</w:t>
      </w:r>
      <w:r w:rsidRPr="000E1CEF">
        <w:rPr>
          <w:lang w:val="en-GB"/>
        </w:rPr>
        <w:t xml:space="preserve"> or should the assessment </w:t>
      </w:r>
      <w:r w:rsidR="00627B36">
        <w:rPr>
          <w:lang w:val="en-GB"/>
        </w:rPr>
        <w:t>instead</w:t>
      </w:r>
      <w:r w:rsidRPr="000E1CEF">
        <w:rPr>
          <w:lang w:val="en-GB"/>
        </w:rPr>
        <w:t xml:space="preserve"> always take the specific circumstances of the </w:t>
      </w:r>
      <w:r w:rsidR="00627B36">
        <w:rPr>
          <w:lang w:val="en-GB"/>
        </w:rPr>
        <w:t>case</w:t>
      </w:r>
      <w:r w:rsidRPr="000E1CEF">
        <w:rPr>
          <w:lang w:val="en-GB"/>
        </w:rPr>
        <w:t xml:space="preserve"> into account? If one or more factors </w:t>
      </w:r>
      <w:r w:rsidR="00B164BF">
        <w:rPr>
          <w:lang w:val="en-GB"/>
        </w:rPr>
        <w:t>should be</w:t>
      </w:r>
      <w:r w:rsidRPr="000E1CEF">
        <w:rPr>
          <w:lang w:val="en-GB"/>
        </w:rPr>
        <w:t xml:space="preserve"> sufficient on their own, which should they be?</w:t>
      </w:r>
    </w:p>
    <w:p w:rsidR="000E1CEF" w:rsidRDefault="00627B36" w:rsidP="00194386">
      <w:pPr>
        <w:pStyle w:val="Para-1"/>
        <w:rPr>
          <w:lang w:val="en-GB"/>
        </w:rPr>
      </w:pPr>
      <w:r>
        <w:rPr>
          <w:lang w:val="en-GB"/>
        </w:rPr>
        <w:t>Which</w:t>
      </w:r>
      <w:r w:rsidR="000E1CEF" w:rsidRPr="000E1CEF">
        <w:rPr>
          <w:lang w:val="en-GB"/>
        </w:rPr>
        <w:t xml:space="preserve"> of the following should be relevant when establishing whether there was or should have been knowledge as described above under </w:t>
      </w:r>
      <w:r>
        <w:rPr>
          <w:lang w:val="en-GB"/>
        </w:rPr>
        <w:t xml:space="preserve">question </w:t>
      </w:r>
      <w:r w:rsidR="000E1CEF" w:rsidRPr="000E1CEF">
        <w:rPr>
          <w:lang w:val="en-GB"/>
        </w:rPr>
        <w:t>21)</w:t>
      </w:r>
      <w:r>
        <w:rPr>
          <w:lang w:val="en-GB"/>
        </w:rPr>
        <w:t xml:space="preserve"> above</w:t>
      </w:r>
      <w:r w:rsidR="000E1CEF" w:rsidRPr="000E1CEF">
        <w:rPr>
          <w:lang w:val="en-GB"/>
        </w:rPr>
        <w:t>?</w:t>
      </w:r>
    </w:p>
    <w:p w:rsidR="00B164BF" w:rsidRPr="00B164BF" w:rsidRDefault="00B164BF" w:rsidP="00B164BF">
      <w:pPr>
        <w:spacing w:before="200" w:line="276" w:lineRule="auto"/>
        <w:ind w:left="720"/>
        <w:rPr>
          <w:rFonts w:eastAsiaTheme="minorHAnsi" w:cstheme="minorBidi"/>
          <w:i/>
        </w:rPr>
      </w:pPr>
      <w:r>
        <w:rPr>
          <w:rFonts w:eastAsiaTheme="minorHAnsi" w:cstheme="minorBidi"/>
          <w:i/>
        </w:rPr>
        <w:t xml:space="preserve">Please tick or fill in all relevant boxes. </w:t>
      </w:r>
      <w:r w:rsidRPr="00B164BF">
        <w:rPr>
          <w:rFonts w:eastAsiaTheme="minorHAnsi" w:cstheme="minorBidi"/>
          <w:i/>
        </w:rPr>
        <w:t>If you select "other", please describe further.</w:t>
      </w:r>
    </w:p>
    <w:p w:rsidR="000E1CEF" w:rsidRPr="000E1CEF" w:rsidRDefault="005E4348" w:rsidP="000E1CEF">
      <w:pPr>
        <w:spacing w:before="200" w:line="276" w:lineRule="auto"/>
        <w:ind w:left="709"/>
        <w:rPr>
          <w:rFonts w:eastAsiaTheme="minorHAnsi" w:cstheme="minorBidi"/>
          <w:lang w:val="en-GB"/>
        </w:rPr>
      </w:pPr>
      <w:r>
        <w:rPr>
          <w:rFonts w:eastAsiaTheme="minorHAnsi" w:cstheme="minorBidi"/>
          <w:lang w:val="en-GB"/>
        </w:rPr>
        <w:sym w:font="Wingdings" w:char="F0A8"/>
      </w:r>
      <w:r w:rsidR="000E1CEF" w:rsidRPr="000E1CEF">
        <w:rPr>
          <w:rFonts w:eastAsiaTheme="minorHAnsi" w:cstheme="minorBidi"/>
          <w:lang w:val="en-GB"/>
        </w:rPr>
        <w:tab/>
        <w:t>whether Party A operates in the same or a simil</w:t>
      </w:r>
      <w:r w:rsidR="00173EFC">
        <w:rPr>
          <w:rFonts w:eastAsiaTheme="minorHAnsi" w:cstheme="minorBidi"/>
          <w:lang w:val="en-GB"/>
        </w:rPr>
        <w:t>ar field of business as Party B</w:t>
      </w:r>
    </w:p>
    <w:p w:rsidR="000E1CEF" w:rsidRPr="000E1CEF" w:rsidRDefault="005E4348" w:rsidP="000E1CEF">
      <w:pPr>
        <w:spacing w:before="200" w:line="276" w:lineRule="auto"/>
        <w:ind w:left="709"/>
        <w:rPr>
          <w:rFonts w:eastAsiaTheme="minorHAnsi" w:cstheme="minorBidi"/>
          <w:lang w:val="en-GB"/>
        </w:rPr>
      </w:pPr>
      <w:r>
        <w:rPr>
          <w:rFonts w:eastAsiaTheme="minorHAnsi" w:cstheme="minorBidi"/>
          <w:lang w:val="en-GB"/>
        </w:rPr>
        <w:sym w:font="Wingdings" w:char="F0A8"/>
      </w:r>
      <w:r w:rsidR="000E1CEF" w:rsidRPr="000E1CEF">
        <w:rPr>
          <w:rFonts w:eastAsiaTheme="minorHAnsi" w:cstheme="minorBidi"/>
          <w:lang w:val="en-GB"/>
        </w:rPr>
        <w:tab/>
        <w:t>whether the earlier sign is we</w:t>
      </w:r>
      <w:r w:rsidR="00173EFC">
        <w:rPr>
          <w:rFonts w:eastAsiaTheme="minorHAnsi" w:cstheme="minorBidi"/>
          <w:lang w:val="en-GB"/>
        </w:rPr>
        <w:t>ll known or enjoys a reputation</w:t>
      </w:r>
    </w:p>
    <w:p w:rsidR="000E1CEF" w:rsidRPr="000E1CEF" w:rsidRDefault="005E4348"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0E1CEF" w:rsidRPr="000E1CEF">
        <w:rPr>
          <w:rFonts w:eastAsiaTheme="minorHAnsi" w:cstheme="minorBidi"/>
          <w:lang w:val="en-GB"/>
        </w:rPr>
        <w:tab/>
        <w:t xml:space="preserve">whether there have been formal or informal dealings or contact between Party A and B (such as an agreement, written </w:t>
      </w:r>
      <w:r w:rsidR="00173EFC">
        <w:rPr>
          <w:rFonts w:eastAsiaTheme="minorHAnsi" w:cstheme="minorBidi"/>
          <w:lang w:val="en-GB"/>
        </w:rPr>
        <w:t>communication etc.)</w:t>
      </w:r>
    </w:p>
    <w:p w:rsidR="000E1CEF" w:rsidRPr="000E1CEF" w:rsidRDefault="005E4348"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0E1CEF" w:rsidRPr="000E1CEF">
        <w:rPr>
          <w:rFonts w:eastAsiaTheme="minorHAnsi" w:cstheme="minorBidi"/>
          <w:lang w:val="en-GB"/>
        </w:rPr>
        <w:tab/>
        <w:t>other</w:t>
      </w:r>
    </w:p>
    <w:p w:rsidR="000E1CEF" w:rsidRPr="000E1CEF" w:rsidRDefault="000E1CEF" w:rsidP="00194386">
      <w:pPr>
        <w:pStyle w:val="Para-1"/>
        <w:rPr>
          <w:lang w:val="en-GB"/>
        </w:rPr>
      </w:pPr>
      <w:r w:rsidRPr="000E1CEF">
        <w:rPr>
          <w:lang w:val="en-GB"/>
        </w:rPr>
        <w:t xml:space="preserve">Should the degree of similarity between the signs be relevant? </w:t>
      </w:r>
      <w:r w:rsidR="005E4348">
        <w:rPr>
          <w:lang w:val="en-GB"/>
        </w:rPr>
        <w:t>Please explain why or why not.</w:t>
      </w:r>
    </w:p>
    <w:p w:rsidR="000E1CEF" w:rsidRPr="000E1CEF" w:rsidRDefault="000E1CEF" w:rsidP="00194386">
      <w:pPr>
        <w:pStyle w:val="Para-1"/>
        <w:rPr>
          <w:lang w:val="en-GB"/>
        </w:rPr>
      </w:pPr>
      <w:r w:rsidRPr="000E1CEF">
        <w:rPr>
          <w:lang w:val="en-GB"/>
        </w:rPr>
        <w:t xml:space="preserve">Should the degree of similarity between the goods/services be relevant? </w:t>
      </w:r>
      <w:r w:rsidR="005E4348">
        <w:rPr>
          <w:lang w:val="en-GB"/>
        </w:rPr>
        <w:t>Please explain why or why not.</w:t>
      </w:r>
    </w:p>
    <w:p w:rsidR="000E1CEF" w:rsidRPr="000E1CEF" w:rsidRDefault="000E1CEF" w:rsidP="000E1CEF">
      <w:pPr>
        <w:keepNext/>
        <w:keepLines/>
        <w:numPr>
          <w:ilvl w:val="1"/>
          <w:numId w:val="0"/>
        </w:numPr>
        <w:spacing w:before="200" w:line="276" w:lineRule="auto"/>
        <w:rPr>
          <w:rFonts w:eastAsiaTheme="minorHAnsi" w:cstheme="minorBidi"/>
          <w:u w:val="single"/>
          <w:lang w:val="en-GB" w:eastAsia="ja-JP"/>
        </w:rPr>
      </w:pPr>
      <w:r w:rsidRPr="000E1CEF">
        <w:rPr>
          <w:rFonts w:eastAsiaTheme="minorHAnsi" w:cstheme="minorBidi"/>
          <w:u w:val="single"/>
          <w:lang w:val="en-GB" w:eastAsia="ja-JP"/>
        </w:rPr>
        <w:t>Repeat filings</w:t>
      </w:r>
    </w:p>
    <w:p w:rsidR="000E1CEF" w:rsidRPr="000E1CEF" w:rsidRDefault="000E1CEF" w:rsidP="00194386">
      <w:pPr>
        <w:pStyle w:val="Para-1"/>
        <w:rPr>
          <w:lang w:val="en-GB"/>
        </w:rPr>
      </w:pPr>
      <w:r w:rsidRPr="000E1CEF">
        <w:rPr>
          <w:lang w:val="en-GB"/>
        </w:rPr>
        <w:t xml:space="preserve">Should it be possible to refuse or cancel the filing by a trademark owner of a trademark identical or similar to a trademark it already owns in your Group's jurisdiction on the grounds that it fails to meet applicable genuine use requirements?  </w:t>
      </w:r>
    </w:p>
    <w:p w:rsidR="000E1CEF" w:rsidRPr="005E4348" w:rsidRDefault="005E4348" w:rsidP="000E1CEF">
      <w:pPr>
        <w:spacing w:before="200" w:line="276" w:lineRule="auto"/>
        <w:ind w:left="720"/>
        <w:rPr>
          <w:rFonts w:eastAsiaTheme="minorHAnsi" w:cstheme="minorBidi"/>
          <w:i/>
          <w:lang w:val="en-GB"/>
        </w:rPr>
      </w:pPr>
      <w:r>
        <w:rPr>
          <w:rFonts w:eastAsiaTheme="minorHAnsi" w:cstheme="minorBidi"/>
          <w:i/>
          <w:lang w:val="en-GB"/>
        </w:rPr>
        <w:t>If yes, please answer questions 27) – 28). If</w:t>
      </w:r>
      <w:r w:rsidR="00DC3CF5">
        <w:rPr>
          <w:rFonts w:eastAsiaTheme="minorHAnsi" w:cstheme="minorBidi"/>
          <w:i/>
          <w:lang w:val="en-GB"/>
        </w:rPr>
        <w:t xml:space="preserve"> no, please go to </w:t>
      </w:r>
      <w:r w:rsidR="00BF343C">
        <w:rPr>
          <w:rFonts w:eastAsiaTheme="minorHAnsi" w:cstheme="minorBidi"/>
          <w:i/>
          <w:lang w:val="en-GB"/>
        </w:rPr>
        <w:t xml:space="preserve">question </w:t>
      </w:r>
      <w:r w:rsidR="00DC3CF5">
        <w:rPr>
          <w:rFonts w:eastAsiaTheme="minorHAnsi" w:cstheme="minorBidi"/>
          <w:i/>
          <w:lang w:val="en-GB"/>
        </w:rPr>
        <w:t>29).</w:t>
      </w:r>
      <w:r>
        <w:rPr>
          <w:rFonts w:eastAsiaTheme="minorHAnsi" w:cstheme="minorBidi"/>
          <w:i/>
          <w:lang w:val="en-GB"/>
        </w:rPr>
        <w:t xml:space="preserve"> </w:t>
      </w:r>
    </w:p>
    <w:p w:rsidR="000E1CEF" w:rsidRPr="000E1CEF" w:rsidRDefault="000E1CEF" w:rsidP="00194386">
      <w:pPr>
        <w:pStyle w:val="Para-1"/>
        <w:rPr>
          <w:lang w:val="en-GB"/>
        </w:rPr>
      </w:pPr>
      <w:r w:rsidRPr="000E1CEF">
        <w:rPr>
          <w:lang w:val="en-GB"/>
        </w:rPr>
        <w:t xml:space="preserve">Which of the following </w:t>
      </w:r>
      <w:r w:rsidR="00B164BF">
        <w:rPr>
          <w:lang w:val="en-GB"/>
        </w:rPr>
        <w:t>factors</w:t>
      </w:r>
      <w:r w:rsidRPr="000E1CEF">
        <w:rPr>
          <w:lang w:val="en-GB"/>
        </w:rPr>
        <w:t xml:space="preserve"> should be relevant when assessing whether a trademark as described under question 26) above should be refused or cancelled?</w:t>
      </w:r>
    </w:p>
    <w:p w:rsidR="000E1CEF" w:rsidRPr="000E1CEF" w:rsidRDefault="000E1CEF" w:rsidP="000E1CEF">
      <w:pPr>
        <w:spacing w:before="120" w:line="288" w:lineRule="auto"/>
        <w:ind w:left="720"/>
        <w:rPr>
          <w:rFonts w:eastAsiaTheme="minorEastAsia" w:cstheme="minorBidi"/>
          <w:i/>
          <w:lang w:val="en-GB" w:eastAsia="ja-JP"/>
        </w:rPr>
      </w:pPr>
      <w:r w:rsidRPr="000E1CEF">
        <w:rPr>
          <w:rFonts w:eastAsiaTheme="minorEastAsia" w:cstheme="minorBidi"/>
          <w:i/>
          <w:lang w:val="en-GB" w:eastAsia="ja-JP"/>
        </w:rPr>
        <w:t>Please tick or fill in all relevant boxes</w:t>
      </w:r>
      <w:r w:rsidR="00B164BF">
        <w:rPr>
          <w:rFonts w:eastAsiaTheme="minorEastAsia" w:cstheme="minorBidi"/>
          <w:i/>
          <w:lang w:val="en-GB" w:eastAsia="ja-JP"/>
        </w:rPr>
        <w:t>. If you select "other", please describe further.</w:t>
      </w:r>
    </w:p>
    <w:p w:rsidR="000E1CEF" w:rsidRPr="000E1CEF" w:rsidRDefault="005E4348"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194386">
        <w:rPr>
          <w:rFonts w:eastAsiaTheme="minorHAnsi" w:cstheme="minorBidi"/>
          <w:lang w:val="en-GB"/>
        </w:rPr>
        <w:tab/>
      </w:r>
      <w:r w:rsidR="000E1CEF" w:rsidRPr="000E1CEF">
        <w:rPr>
          <w:rFonts w:eastAsiaTheme="minorHAnsi" w:cstheme="minorBidi"/>
          <w:lang w:val="en-GB"/>
        </w:rPr>
        <w:t xml:space="preserve">the degree of overlap between the goods/services </w:t>
      </w:r>
    </w:p>
    <w:p w:rsidR="000E1CEF" w:rsidRPr="000E1CEF" w:rsidRDefault="005E4348"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194386">
        <w:rPr>
          <w:rFonts w:eastAsiaTheme="minorHAnsi" w:cstheme="minorBidi"/>
          <w:lang w:val="en-GB"/>
        </w:rPr>
        <w:tab/>
      </w:r>
      <w:r w:rsidR="000E1CEF" w:rsidRPr="000E1CEF">
        <w:rPr>
          <w:rFonts w:eastAsiaTheme="minorHAnsi" w:cstheme="minorBidi"/>
          <w:lang w:val="en-GB"/>
        </w:rPr>
        <w:t>whether or not the signs are identical</w:t>
      </w:r>
    </w:p>
    <w:p w:rsidR="000E1CEF" w:rsidRPr="000E1CEF" w:rsidRDefault="005E4348"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194386">
        <w:rPr>
          <w:rFonts w:eastAsiaTheme="minorHAnsi" w:cstheme="minorBidi"/>
          <w:lang w:val="en-GB"/>
        </w:rPr>
        <w:tab/>
      </w:r>
      <w:r w:rsidR="000E1CEF" w:rsidRPr="000E1CEF">
        <w:rPr>
          <w:rFonts w:eastAsiaTheme="minorHAnsi" w:cstheme="minorBidi"/>
          <w:lang w:val="en-GB"/>
        </w:rPr>
        <w:t>if the signs are different, the degree of difference</w:t>
      </w:r>
    </w:p>
    <w:p w:rsidR="000E1CEF" w:rsidRPr="000E1CEF" w:rsidRDefault="005E4348"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194386">
        <w:rPr>
          <w:rFonts w:eastAsiaTheme="minorHAnsi" w:cstheme="minorBidi"/>
          <w:lang w:val="en-GB"/>
        </w:rPr>
        <w:tab/>
      </w:r>
      <w:r w:rsidR="000E1CEF" w:rsidRPr="000E1CEF">
        <w:rPr>
          <w:rFonts w:eastAsiaTheme="minorHAnsi" w:cstheme="minorBidi"/>
          <w:lang w:val="en-GB"/>
        </w:rPr>
        <w:t>absence or presence of intent to use</w:t>
      </w:r>
    </w:p>
    <w:p w:rsidR="000E1CEF" w:rsidRPr="000E1CEF" w:rsidRDefault="005E4348"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194386">
        <w:rPr>
          <w:rFonts w:eastAsiaTheme="minorHAnsi" w:cstheme="minorBidi"/>
          <w:lang w:val="en-GB"/>
        </w:rPr>
        <w:tab/>
      </w:r>
      <w:r w:rsidR="000E1CEF" w:rsidRPr="000E1CEF">
        <w:rPr>
          <w:rFonts w:eastAsiaTheme="minorHAnsi" w:cstheme="minorBidi"/>
          <w:lang w:val="en-GB"/>
        </w:rPr>
        <w:t>other intentions (e.g. the filing of an updated version of a trademark to meet evolving market requirements)</w:t>
      </w:r>
    </w:p>
    <w:p w:rsidR="000E1CEF" w:rsidRPr="000E1CEF" w:rsidRDefault="005E4348"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194386">
        <w:rPr>
          <w:rFonts w:eastAsiaTheme="minorHAnsi" w:cstheme="minorBidi"/>
          <w:lang w:val="en-GB"/>
        </w:rPr>
        <w:tab/>
      </w:r>
      <w:r w:rsidR="000E1CEF" w:rsidRPr="000E1CEF">
        <w:rPr>
          <w:rFonts w:eastAsiaTheme="minorHAnsi" w:cstheme="minorBidi"/>
          <w:lang w:val="en-GB"/>
        </w:rPr>
        <w:t xml:space="preserve">number of goods/services </w:t>
      </w:r>
    </w:p>
    <w:p w:rsidR="000E1CEF" w:rsidRPr="000E1CEF" w:rsidRDefault="005E4348" w:rsidP="000E1CEF">
      <w:pPr>
        <w:spacing w:before="200" w:line="276" w:lineRule="auto"/>
        <w:ind w:left="1440" w:hanging="731"/>
        <w:rPr>
          <w:rFonts w:eastAsiaTheme="minorHAnsi" w:cstheme="minorBidi"/>
          <w:lang w:val="en-GB"/>
        </w:rPr>
      </w:pPr>
      <w:r>
        <w:rPr>
          <w:rFonts w:eastAsiaTheme="minorHAnsi" w:cstheme="minorBidi"/>
          <w:lang w:val="en-GB"/>
        </w:rPr>
        <w:sym w:font="Wingdings" w:char="F0A8"/>
      </w:r>
      <w:r w:rsidR="00194386">
        <w:rPr>
          <w:rFonts w:eastAsiaTheme="minorHAnsi" w:cstheme="minorBidi"/>
          <w:lang w:val="en-GB"/>
        </w:rPr>
        <w:tab/>
      </w:r>
      <w:r w:rsidR="000E1CEF" w:rsidRPr="000E1CEF">
        <w:rPr>
          <w:rFonts w:eastAsiaTheme="minorHAnsi" w:cstheme="minorBidi"/>
          <w:lang w:val="en-GB"/>
        </w:rPr>
        <w:t>other</w:t>
      </w:r>
    </w:p>
    <w:p w:rsidR="000E1CEF" w:rsidRPr="000E1CEF" w:rsidRDefault="000E1CEF" w:rsidP="000E1CEF">
      <w:pPr>
        <w:spacing w:before="200" w:line="276" w:lineRule="auto"/>
        <w:ind w:left="720"/>
        <w:rPr>
          <w:rFonts w:eastAsiaTheme="minorHAnsi" w:cstheme="minorBidi"/>
          <w:lang w:val="en-GB"/>
        </w:rPr>
      </w:pPr>
      <w:r w:rsidRPr="000E1CEF">
        <w:rPr>
          <w:rFonts w:eastAsiaTheme="minorHAnsi" w:cstheme="minorBidi"/>
          <w:lang w:val="en-GB"/>
        </w:rPr>
        <w:t xml:space="preserve">Please explain how </w:t>
      </w:r>
      <w:r w:rsidR="00B164BF">
        <w:rPr>
          <w:rFonts w:eastAsiaTheme="minorHAnsi" w:cstheme="minorBidi"/>
          <w:lang w:val="en-GB"/>
        </w:rPr>
        <w:t xml:space="preserve">each of </w:t>
      </w:r>
      <w:r w:rsidRPr="000E1CEF">
        <w:rPr>
          <w:rFonts w:eastAsiaTheme="minorHAnsi" w:cstheme="minorBidi"/>
          <w:lang w:val="en-GB"/>
        </w:rPr>
        <w:t xml:space="preserve">the factors </w:t>
      </w:r>
      <w:r w:rsidR="00B164BF">
        <w:rPr>
          <w:rFonts w:eastAsiaTheme="minorHAnsi" w:cstheme="minorBidi"/>
          <w:lang w:val="en-GB"/>
        </w:rPr>
        <w:t xml:space="preserve">selected above </w:t>
      </w:r>
      <w:r w:rsidRPr="000E1CEF">
        <w:rPr>
          <w:rFonts w:eastAsiaTheme="minorHAnsi" w:cstheme="minorBidi"/>
          <w:lang w:val="en-GB"/>
        </w:rPr>
        <w:t>should influence the assessment.</w:t>
      </w:r>
    </w:p>
    <w:p w:rsidR="000E1CEF" w:rsidRPr="000E1CEF" w:rsidRDefault="000E1CEF" w:rsidP="00194386">
      <w:pPr>
        <w:pStyle w:val="Para-1"/>
        <w:rPr>
          <w:lang w:val="en-GB"/>
        </w:rPr>
      </w:pPr>
      <w:r w:rsidRPr="000E1CEF">
        <w:rPr>
          <w:lang w:val="en-GB"/>
        </w:rPr>
        <w:t>Should the answers to questions 26)</w:t>
      </w:r>
      <w:r w:rsidR="00627B36">
        <w:rPr>
          <w:lang w:val="en-GB"/>
        </w:rPr>
        <w:t xml:space="preserve"> </w:t>
      </w:r>
      <w:r w:rsidRPr="000E1CEF">
        <w:rPr>
          <w:lang w:val="en-GB"/>
        </w:rPr>
        <w:t>-</w:t>
      </w:r>
      <w:r w:rsidR="00627B36">
        <w:rPr>
          <w:lang w:val="en-GB"/>
        </w:rPr>
        <w:t xml:space="preserve"> </w:t>
      </w:r>
      <w:r w:rsidRPr="000E1CEF">
        <w:rPr>
          <w:lang w:val="en-GB"/>
        </w:rPr>
        <w:t xml:space="preserve">27) </w:t>
      </w:r>
      <w:r w:rsidR="00627B36">
        <w:rPr>
          <w:lang w:val="en-GB"/>
        </w:rPr>
        <w:t xml:space="preserve">above </w:t>
      </w:r>
      <w:r w:rsidRPr="000E1CEF">
        <w:rPr>
          <w:lang w:val="en-GB"/>
        </w:rPr>
        <w:t>be different if the previous trademark is no longer in force? if so, how?</w:t>
      </w:r>
    </w:p>
    <w:p w:rsidR="000E1CEF" w:rsidRPr="000E1CEF" w:rsidRDefault="000E1CEF" w:rsidP="000E1CEF">
      <w:pPr>
        <w:keepNext/>
        <w:keepLines/>
        <w:numPr>
          <w:ilvl w:val="1"/>
          <w:numId w:val="0"/>
        </w:numPr>
        <w:spacing w:before="200" w:line="276" w:lineRule="auto"/>
        <w:rPr>
          <w:rFonts w:eastAsiaTheme="minorHAnsi" w:cstheme="minorBidi"/>
          <w:u w:val="single"/>
          <w:lang w:val="en-GB" w:eastAsia="ja-JP"/>
        </w:rPr>
      </w:pPr>
      <w:r w:rsidRPr="000E1CEF">
        <w:rPr>
          <w:rFonts w:eastAsiaTheme="minorHAnsi" w:cstheme="minorBidi"/>
          <w:u w:val="single"/>
          <w:lang w:val="en-GB" w:eastAsia="ja-JP"/>
        </w:rPr>
        <w:t>Defensive marks</w:t>
      </w:r>
    </w:p>
    <w:p w:rsidR="000E1CEF" w:rsidRPr="000E1CEF" w:rsidRDefault="000E1CEF" w:rsidP="00194386">
      <w:pPr>
        <w:pStyle w:val="Para-1"/>
        <w:rPr>
          <w:lang w:val="en-GB"/>
        </w:rPr>
      </w:pPr>
      <w:r w:rsidRPr="000E1CEF">
        <w:rPr>
          <w:lang w:val="en-GB"/>
        </w:rPr>
        <w:t>Should it be permissible to file a trademark if the trademark owner does not have any intent to use that trademark for part or all of the goods/services claimed? If not, should there be a timeframe (and if so, what) for such intention to use (e.g. must the intent be to start use immediately)? Please explain.</w:t>
      </w:r>
    </w:p>
    <w:p w:rsidR="000E1CEF" w:rsidRPr="000E1CEF" w:rsidRDefault="000E1CEF" w:rsidP="00627B36">
      <w:pPr>
        <w:keepNext/>
        <w:spacing w:before="200" w:line="276" w:lineRule="auto"/>
        <w:rPr>
          <w:rFonts w:eastAsiaTheme="minorHAnsi" w:cstheme="minorBidi"/>
          <w:u w:val="single"/>
        </w:rPr>
      </w:pPr>
      <w:r w:rsidRPr="000E1CEF">
        <w:rPr>
          <w:rFonts w:eastAsiaTheme="minorHAnsi" w:cstheme="minorBidi"/>
          <w:u w:val="single"/>
        </w:rPr>
        <w:t>Other</w:t>
      </w:r>
    </w:p>
    <w:p w:rsidR="000E1CEF" w:rsidRPr="000E1CEF" w:rsidRDefault="000E1CEF" w:rsidP="00194386">
      <w:pPr>
        <w:pStyle w:val="Para-1"/>
        <w:rPr>
          <w:lang w:val="en-GB"/>
        </w:rPr>
      </w:pPr>
      <w:r w:rsidRPr="000E1CEF">
        <w:t>Should any other conduct in respect of trademarks, as an independent ground for action, amount to bad faith</w:t>
      </w:r>
      <w:r w:rsidRPr="000E1CEF">
        <w:rPr>
          <w:vertAlign w:val="superscript"/>
        </w:rPr>
        <w:footnoteReference w:id="17"/>
      </w:r>
      <w:r w:rsidRPr="000E1CEF">
        <w:rPr>
          <w:lang w:val="en-GB"/>
        </w:rPr>
        <w:t xml:space="preserve">? </w:t>
      </w:r>
      <w:r w:rsidR="00173EFC">
        <w:rPr>
          <w:lang w:val="en-GB"/>
        </w:rPr>
        <w:t>If yes, please explain.</w:t>
      </w:r>
      <w:r w:rsidRPr="000E1CEF">
        <w:rPr>
          <w:lang w:val="en-GB"/>
        </w:rPr>
        <w:t xml:space="preserve"> </w:t>
      </w:r>
    </w:p>
    <w:p w:rsidR="000E1CEF" w:rsidRPr="000E1CEF" w:rsidRDefault="000E1CEF" w:rsidP="00B164BF">
      <w:pPr>
        <w:keepNext/>
        <w:spacing w:before="200" w:line="276" w:lineRule="auto"/>
        <w:rPr>
          <w:rFonts w:eastAsiaTheme="minorHAnsi" w:cstheme="minorBidi"/>
          <w:u w:val="single"/>
          <w:lang w:val="en-GB"/>
        </w:rPr>
      </w:pPr>
      <w:r w:rsidRPr="000E1CEF">
        <w:rPr>
          <w:rFonts w:eastAsiaTheme="minorHAnsi" w:cstheme="minorBidi"/>
          <w:u w:val="single"/>
          <w:lang w:val="en-GB"/>
        </w:rPr>
        <w:t>Type</w:t>
      </w:r>
      <w:r w:rsidR="00627B36">
        <w:rPr>
          <w:rFonts w:eastAsiaTheme="minorHAnsi" w:cstheme="minorBidi"/>
          <w:u w:val="single"/>
          <w:lang w:val="en-GB"/>
        </w:rPr>
        <w:t xml:space="preserve"> of</w:t>
      </w:r>
      <w:r w:rsidRPr="000E1CEF">
        <w:rPr>
          <w:rFonts w:eastAsiaTheme="minorHAnsi" w:cstheme="minorBidi"/>
          <w:u w:val="single"/>
          <w:lang w:val="en-GB"/>
        </w:rPr>
        <w:t xml:space="preserve"> proceedings</w:t>
      </w:r>
    </w:p>
    <w:p w:rsidR="000E1CEF" w:rsidRPr="000E1CEF" w:rsidRDefault="000E1CEF" w:rsidP="00194386">
      <w:pPr>
        <w:pStyle w:val="Para-1"/>
        <w:rPr>
          <w:lang w:val="en-GB"/>
        </w:rPr>
      </w:pPr>
      <w:r w:rsidRPr="000E1CEF">
        <w:rPr>
          <w:lang w:val="en-GB"/>
        </w:rPr>
        <w:t xml:space="preserve">In which proceedings should it be possible to invoke the grounds described </w:t>
      </w:r>
      <w:r w:rsidR="00627B36">
        <w:rPr>
          <w:lang w:val="en-GB"/>
        </w:rPr>
        <w:t>in your response to</w:t>
      </w:r>
      <w:r w:rsidRPr="000E1CEF">
        <w:rPr>
          <w:lang w:val="en-GB"/>
        </w:rPr>
        <w:t xml:space="preserve"> questions 20), 26), 29) and 30)</w:t>
      </w:r>
      <w:r w:rsidR="00627B36">
        <w:rPr>
          <w:lang w:val="en-GB"/>
        </w:rPr>
        <w:t xml:space="preserve"> above</w:t>
      </w:r>
      <w:r w:rsidRPr="000E1CEF">
        <w:rPr>
          <w:lang w:val="en-GB"/>
        </w:rPr>
        <w:t>, inasfar as they should be grounds for action in your view?</w:t>
      </w:r>
    </w:p>
    <w:p w:rsidR="000E1CEF" w:rsidRPr="000E1CEF" w:rsidRDefault="000E1CEF" w:rsidP="000E1CEF">
      <w:pPr>
        <w:spacing w:before="120" w:line="288" w:lineRule="auto"/>
        <w:ind w:left="720"/>
        <w:rPr>
          <w:rFonts w:eastAsiaTheme="minorEastAsia" w:cstheme="minorBidi"/>
          <w:i/>
          <w:lang w:eastAsia="ja-JP"/>
        </w:rPr>
      </w:pPr>
      <w:r w:rsidRPr="000E1CEF">
        <w:rPr>
          <w:rFonts w:eastAsiaTheme="minorEastAsia" w:cstheme="minorBidi"/>
          <w:i/>
          <w:lang w:eastAsia="ja-JP"/>
        </w:rPr>
        <w:t>Please tick</w:t>
      </w:r>
      <w:r w:rsidR="00B164BF">
        <w:rPr>
          <w:rFonts w:eastAsiaTheme="minorEastAsia" w:cstheme="minorBidi"/>
          <w:i/>
          <w:lang w:eastAsia="ja-JP"/>
        </w:rPr>
        <w:t xml:space="preserve"> or fill in all boxes. </w:t>
      </w:r>
      <w:r w:rsidR="00B164BF">
        <w:rPr>
          <w:rFonts w:eastAsiaTheme="minorEastAsia" w:cstheme="minorBidi"/>
          <w:i/>
          <w:lang w:val="en-GB" w:eastAsia="ja-JP"/>
        </w:rPr>
        <w:t>If you select either of the last two boxes, please describe further.</w:t>
      </w:r>
    </w:p>
    <w:p w:rsidR="000E1CEF" w:rsidRPr="000E1CEF" w:rsidRDefault="00DC3CF5" w:rsidP="000E1CEF">
      <w:pPr>
        <w:spacing w:before="200" w:line="276" w:lineRule="auto"/>
        <w:ind w:left="1440" w:hanging="731"/>
        <w:rPr>
          <w:rFonts w:eastAsiaTheme="minorHAnsi" w:cstheme="minorBidi"/>
          <w:i/>
        </w:rPr>
      </w:pPr>
      <w:r>
        <w:rPr>
          <w:rFonts w:eastAsiaTheme="minorHAnsi" w:cstheme="minorBidi"/>
          <w:lang w:val="en-GB"/>
        </w:rPr>
        <w:sym w:font="Wingdings" w:char="F0A8"/>
      </w:r>
      <w:r w:rsidR="00194386">
        <w:rPr>
          <w:rFonts w:eastAsiaTheme="minorHAnsi" w:cstheme="minorBidi"/>
          <w:i/>
        </w:rPr>
        <w:tab/>
      </w:r>
      <w:r w:rsidR="000E1CEF" w:rsidRPr="000E1CEF">
        <w:rPr>
          <w:rFonts w:eastAsiaTheme="minorHAnsi" w:cstheme="minorBidi"/>
          <w:i/>
        </w:rPr>
        <w:t xml:space="preserve">ex officio </w:t>
      </w:r>
      <w:r w:rsidR="000E1CEF" w:rsidRPr="000E1CEF">
        <w:rPr>
          <w:rFonts w:eastAsiaTheme="minorHAnsi" w:cstheme="minorBidi"/>
        </w:rPr>
        <w:t>by the trademark/IP office</w:t>
      </w:r>
    </w:p>
    <w:p w:rsidR="000E1CEF" w:rsidRPr="000E1CEF" w:rsidRDefault="00DC3CF5"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194386">
        <w:rPr>
          <w:rFonts w:eastAsiaTheme="minorHAnsi" w:cstheme="minorBidi"/>
        </w:rPr>
        <w:tab/>
      </w:r>
      <w:r w:rsidR="000E1CEF" w:rsidRPr="000E1CEF">
        <w:rPr>
          <w:rFonts w:eastAsiaTheme="minorHAnsi" w:cstheme="minorBidi"/>
        </w:rPr>
        <w:t>opposition proceedings (before the trademark/IP office)</w:t>
      </w:r>
    </w:p>
    <w:p w:rsidR="000E1CEF" w:rsidRPr="000E1CEF" w:rsidRDefault="00DC3CF5"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194386">
        <w:rPr>
          <w:rFonts w:eastAsiaTheme="minorHAnsi" w:cstheme="minorBidi"/>
        </w:rPr>
        <w:tab/>
      </w:r>
      <w:r w:rsidR="000E1CEF" w:rsidRPr="000E1CEF">
        <w:rPr>
          <w:rFonts w:eastAsiaTheme="minorHAnsi" w:cstheme="minorBidi"/>
        </w:rPr>
        <w:t>a cancellation action (before the trademark/IP office)</w:t>
      </w:r>
    </w:p>
    <w:p w:rsidR="000E1CEF" w:rsidRPr="000E1CEF" w:rsidRDefault="00DC3CF5"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194386">
        <w:rPr>
          <w:rFonts w:eastAsiaTheme="minorHAnsi" w:cstheme="minorBidi"/>
        </w:rPr>
        <w:tab/>
      </w:r>
      <w:r w:rsidR="000E1CEF" w:rsidRPr="000E1CEF">
        <w:rPr>
          <w:rFonts w:eastAsiaTheme="minorHAnsi" w:cstheme="minorBidi"/>
        </w:rPr>
        <w:t>court proceedings concerning a bad faith application</w:t>
      </w:r>
    </w:p>
    <w:p w:rsidR="000E1CEF" w:rsidRPr="000E1CEF" w:rsidRDefault="00DC3CF5"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194386">
        <w:rPr>
          <w:rFonts w:eastAsiaTheme="minorHAnsi" w:cstheme="minorBidi"/>
        </w:rPr>
        <w:tab/>
      </w:r>
      <w:r w:rsidR="000E1CEF" w:rsidRPr="000E1CEF">
        <w:rPr>
          <w:rFonts w:eastAsiaTheme="minorHAnsi" w:cstheme="minorBidi"/>
        </w:rPr>
        <w:t>court proceedings concerning a bad faith registration</w:t>
      </w:r>
    </w:p>
    <w:p w:rsidR="000E1CEF" w:rsidRPr="000E1CEF" w:rsidRDefault="00DC3CF5"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194386">
        <w:rPr>
          <w:rFonts w:eastAsiaTheme="minorHAnsi" w:cstheme="minorBidi"/>
        </w:rPr>
        <w:tab/>
      </w:r>
      <w:r w:rsidR="00B164BF">
        <w:rPr>
          <w:rFonts w:eastAsiaTheme="minorHAnsi" w:cstheme="minorBidi"/>
        </w:rPr>
        <w:t>it differs per ground</w:t>
      </w:r>
    </w:p>
    <w:p w:rsidR="000E1CEF" w:rsidRPr="000E1CEF" w:rsidRDefault="00DC3CF5" w:rsidP="000E1CEF">
      <w:pPr>
        <w:spacing w:before="200" w:line="276" w:lineRule="auto"/>
        <w:ind w:left="1440" w:hanging="731"/>
        <w:rPr>
          <w:rFonts w:eastAsiaTheme="minorHAnsi" w:cstheme="minorBidi"/>
        </w:rPr>
      </w:pPr>
      <w:r>
        <w:rPr>
          <w:rFonts w:eastAsiaTheme="minorHAnsi" w:cstheme="minorBidi"/>
          <w:lang w:val="en-GB"/>
        </w:rPr>
        <w:sym w:font="Wingdings" w:char="F0A8"/>
      </w:r>
      <w:r w:rsidR="00194386">
        <w:rPr>
          <w:rFonts w:eastAsiaTheme="minorHAnsi" w:cstheme="minorBidi"/>
        </w:rPr>
        <w:tab/>
      </w:r>
      <w:r w:rsidR="00B164BF">
        <w:rPr>
          <w:rFonts w:eastAsiaTheme="minorHAnsi" w:cstheme="minorBidi"/>
        </w:rPr>
        <w:t>other</w:t>
      </w:r>
    </w:p>
    <w:p w:rsidR="000E1CEF" w:rsidRPr="000E1CEF" w:rsidRDefault="000E1CEF" w:rsidP="000E1CEF">
      <w:pPr>
        <w:keepNext/>
        <w:keepLines/>
        <w:numPr>
          <w:ilvl w:val="1"/>
          <w:numId w:val="0"/>
        </w:numPr>
        <w:spacing w:before="200" w:line="276" w:lineRule="auto"/>
        <w:rPr>
          <w:rFonts w:eastAsiaTheme="minorHAnsi" w:cstheme="minorBidi"/>
          <w:u w:val="single"/>
          <w:lang w:val="en-GB" w:eastAsia="ja-JP"/>
        </w:rPr>
      </w:pPr>
      <w:r w:rsidRPr="000E1CEF">
        <w:rPr>
          <w:rFonts w:eastAsiaTheme="minorHAnsi" w:cstheme="minorBidi"/>
          <w:u w:val="single"/>
          <w:lang w:val="en-GB" w:eastAsia="ja-JP"/>
        </w:rPr>
        <w:t>Other</w:t>
      </w:r>
    </w:p>
    <w:p w:rsidR="000E1CEF" w:rsidRPr="000E1CEF" w:rsidRDefault="000E1CEF" w:rsidP="00194386">
      <w:pPr>
        <w:pStyle w:val="Para-1"/>
      </w:pPr>
      <w:r w:rsidRPr="000E1CEF">
        <w:t>Please comment on any additional issues concerning bad faith (or equivalent concepts) in the context of trademark law you consider relevant to this Study Question.</w:t>
      </w:r>
    </w:p>
    <w:p w:rsidR="009306E5" w:rsidRPr="008343AF" w:rsidRDefault="009306E5">
      <w:pPr>
        <w:jc w:val="both"/>
        <w:outlineLvl w:val="0"/>
        <w:rPr>
          <w:rFonts w:eastAsia="Arial Unicode MS"/>
          <w:u w:color="000000"/>
          <w:lang w:eastAsia="de-CH"/>
        </w:rPr>
      </w:pPr>
    </w:p>
    <w:sectPr w:rsidR="009306E5" w:rsidRPr="008343AF" w:rsidSect="00621D62">
      <w:footerReference w:type="default" r:id="rId9"/>
      <w:pgSz w:w="11906" w:h="16838"/>
      <w:pgMar w:top="1417" w:right="1417" w:bottom="1134" w:left="1417" w:header="708" w:footer="595" w:gutter="0"/>
      <w:paperSrc w:first="11" w:other="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FB2" w:rsidRDefault="00BE3FB2" w:rsidP="006F1570">
      <w:r>
        <w:separator/>
      </w:r>
    </w:p>
  </w:endnote>
  <w:endnote w:type="continuationSeparator" w:id="0">
    <w:p w:rsidR="00BE3FB2" w:rsidRDefault="00BE3FB2" w:rsidP="006F1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851893"/>
      <w:docPartObj>
        <w:docPartGallery w:val="Page Numbers (Bottom of Page)"/>
        <w:docPartUnique/>
      </w:docPartObj>
    </w:sdtPr>
    <w:sdtEndPr>
      <w:rPr>
        <w:noProof/>
        <w:sz w:val="12"/>
      </w:rPr>
    </w:sdtEndPr>
    <w:sdtContent>
      <w:p w:rsidR="00701C38" w:rsidRDefault="00701C38" w:rsidP="00022FD3">
        <w:pPr>
          <w:pStyle w:val="Pieddepage"/>
          <w:jc w:val="center"/>
          <w:rPr>
            <w:noProof/>
          </w:rPr>
        </w:pPr>
        <w:r>
          <w:fldChar w:fldCharType="begin"/>
        </w:r>
        <w:r>
          <w:instrText xml:space="preserve"> PAGE   \* MERGEFORMAT </w:instrText>
        </w:r>
        <w:r>
          <w:fldChar w:fldCharType="separate"/>
        </w:r>
        <w:r w:rsidR="00D46693">
          <w:rPr>
            <w:noProof/>
          </w:rPr>
          <w:t>4</w:t>
        </w:r>
        <w:r>
          <w:rPr>
            <w:noProof/>
          </w:rPr>
          <w:fldChar w:fldCharType="end"/>
        </w:r>
      </w:p>
      <w:p w:rsidR="00701C38" w:rsidRPr="00F67FFA" w:rsidRDefault="00BE3FB2" w:rsidP="009F58A5">
        <w:pPr>
          <w:pStyle w:val="Pieddepage"/>
          <w:rPr>
            <w:noProof/>
            <w:sz w:val="1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FB2" w:rsidRDefault="00BE3FB2" w:rsidP="006F1570">
      <w:r>
        <w:separator/>
      </w:r>
    </w:p>
  </w:footnote>
  <w:footnote w:type="continuationSeparator" w:id="0">
    <w:p w:rsidR="00BE3FB2" w:rsidRDefault="00BE3FB2" w:rsidP="006F1570">
      <w:r>
        <w:continuationSeparator/>
      </w:r>
    </w:p>
  </w:footnote>
  <w:footnote w:id="1">
    <w:p w:rsidR="000E1CEF" w:rsidRPr="00A04A51" w:rsidRDefault="000E1CEF" w:rsidP="000E1CEF">
      <w:pPr>
        <w:pStyle w:val="Notedebasdepage"/>
        <w:ind w:left="720" w:hanging="720"/>
        <w:rPr>
          <w:lang w:val="nl-NL"/>
        </w:rPr>
      </w:pPr>
      <w:r>
        <w:rPr>
          <w:rStyle w:val="Appelnotedebasdep"/>
        </w:rPr>
        <w:footnoteRef/>
      </w:r>
      <w:r>
        <w:tab/>
      </w:r>
      <w:r w:rsidRPr="002E7A75">
        <w:rPr>
          <w:szCs w:val="16"/>
        </w:rPr>
        <w:t xml:space="preserve">See e.g. </w:t>
      </w:r>
      <w:r>
        <w:rPr>
          <w:szCs w:val="16"/>
        </w:rPr>
        <w:t>J. Mellor</w:t>
      </w:r>
      <w:r w:rsidRPr="002E7A75">
        <w:rPr>
          <w:szCs w:val="16"/>
        </w:rPr>
        <w:t xml:space="preserve"> </w:t>
      </w:r>
      <w:r>
        <w:rPr>
          <w:szCs w:val="16"/>
        </w:rPr>
        <w:t>et al.</w:t>
      </w:r>
      <w:r w:rsidRPr="002E7A75">
        <w:rPr>
          <w:szCs w:val="16"/>
        </w:rPr>
        <w:t xml:space="preserve">, </w:t>
      </w:r>
      <w:r w:rsidRPr="002E7A75">
        <w:rPr>
          <w:i/>
          <w:szCs w:val="16"/>
        </w:rPr>
        <w:t>Kerly's law of trademarks and trade names</w:t>
      </w:r>
      <w:r w:rsidRPr="002E7A75">
        <w:rPr>
          <w:szCs w:val="16"/>
        </w:rPr>
        <w:t xml:space="preserve"> (London 20</w:t>
      </w:r>
      <w:r>
        <w:rPr>
          <w:szCs w:val="16"/>
        </w:rPr>
        <w:t>11</w:t>
      </w:r>
      <w:r w:rsidRPr="002E7A75">
        <w:rPr>
          <w:szCs w:val="16"/>
        </w:rPr>
        <w:t>)</w:t>
      </w:r>
      <w:r w:rsidR="004A1CCD">
        <w:rPr>
          <w:szCs w:val="16"/>
        </w:rPr>
        <w:t xml:space="preserve"> (</w:t>
      </w:r>
      <w:r w:rsidR="004A1CCD">
        <w:rPr>
          <w:b/>
          <w:i/>
          <w:szCs w:val="16"/>
        </w:rPr>
        <w:t>Kerly</w:t>
      </w:r>
      <w:r w:rsidR="004A1CCD">
        <w:rPr>
          <w:szCs w:val="16"/>
        </w:rPr>
        <w:t>)</w:t>
      </w:r>
      <w:r w:rsidRPr="002E7A75">
        <w:rPr>
          <w:szCs w:val="16"/>
        </w:rPr>
        <w:t>, p.</w:t>
      </w:r>
      <w:r w:rsidR="004A1CCD">
        <w:rPr>
          <w:szCs w:val="16"/>
        </w:rPr>
        <w:t> </w:t>
      </w:r>
      <w:r w:rsidRPr="002E7A75">
        <w:rPr>
          <w:szCs w:val="16"/>
        </w:rPr>
        <w:t>2</w:t>
      </w:r>
      <w:r>
        <w:rPr>
          <w:szCs w:val="16"/>
        </w:rPr>
        <w:t>58</w:t>
      </w:r>
      <w:r w:rsidRPr="002E7A75">
        <w:rPr>
          <w:szCs w:val="16"/>
        </w:rPr>
        <w:t>-2</w:t>
      </w:r>
      <w:r>
        <w:rPr>
          <w:szCs w:val="16"/>
        </w:rPr>
        <w:t>6</w:t>
      </w:r>
      <w:r w:rsidRPr="002E7A75">
        <w:rPr>
          <w:szCs w:val="16"/>
        </w:rPr>
        <w:t xml:space="preserve">7; M. Davison and I. Horak, </w:t>
      </w:r>
      <w:r w:rsidRPr="002E7A75">
        <w:rPr>
          <w:i/>
          <w:szCs w:val="16"/>
        </w:rPr>
        <w:t>Shanahan's Australian law of trade marks and passing off</w:t>
      </w:r>
      <w:r w:rsidRPr="002E7A75">
        <w:rPr>
          <w:szCs w:val="16"/>
        </w:rPr>
        <w:t xml:space="preserve"> (201</w:t>
      </w:r>
      <w:r>
        <w:rPr>
          <w:szCs w:val="16"/>
        </w:rPr>
        <w:t>6</w:t>
      </w:r>
      <w:r w:rsidRPr="002E7A75">
        <w:rPr>
          <w:szCs w:val="16"/>
        </w:rPr>
        <w:t>)</w:t>
      </w:r>
      <w:r w:rsidR="004A1CCD">
        <w:rPr>
          <w:szCs w:val="16"/>
        </w:rPr>
        <w:t xml:space="preserve"> (</w:t>
      </w:r>
      <w:r w:rsidR="004A1CCD">
        <w:rPr>
          <w:b/>
          <w:i/>
          <w:szCs w:val="16"/>
        </w:rPr>
        <w:t>Shanahan</w:t>
      </w:r>
      <w:r w:rsidR="004A1CCD">
        <w:rPr>
          <w:szCs w:val="16"/>
        </w:rPr>
        <w:t>)</w:t>
      </w:r>
      <w:r w:rsidRPr="002E7A75">
        <w:rPr>
          <w:szCs w:val="16"/>
        </w:rPr>
        <w:t>, p. 4</w:t>
      </w:r>
      <w:r>
        <w:rPr>
          <w:szCs w:val="16"/>
        </w:rPr>
        <w:t>59</w:t>
      </w:r>
      <w:r w:rsidRPr="002E7A75">
        <w:rPr>
          <w:szCs w:val="16"/>
        </w:rPr>
        <w:t>-4</w:t>
      </w:r>
      <w:r>
        <w:rPr>
          <w:szCs w:val="16"/>
        </w:rPr>
        <w:t>61</w:t>
      </w:r>
      <w:r w:rsidRPr="002E7A75">
        <w:rPr>
          <w:szCs w:val="16"/>
        </w:rPr>
        <w:t xml:space="preserve">; P. Ströbele </w:t>
      </w:r>
      <w:r>
        <w:rPr>
          <w:szCs w:val="16"/>
        </w:rPr>
        <w:t>et al.</w:t>
      </w:r>
      <w:r w:rsidRPr="002E7A75">
        <w:rPr>
          <w:szCs w:val="16"/>
        </w:rPr>
        <w:t xml:space="preserve">, </w:t>
      </w:r>
      <w:r w:rsidRPr="002E7A75">
        <w:rPr>
          <w:i/>
          <w:szCs w:val="16"/>
        </w:rPr>
        <w:t xml:space="preserve">Markengesetz. </w:t>
      </w:r>
      <w:r w:rsidRPr="002E7A75">
        <w:rPr>
          <w:i/>
          <w:szCs w:val="16"/>
          <w:lang w:val="nl-NL"/>
        </w:rPr>
        <w:t>Kommentar</w:t>
      </w:r>
      <w:r w:rsidRPr="002E7A75">
        <w:rPr>
          <w:szCs w:val="16"/>
          <w:lang w:val="nl-NL"/>
        </w:rPr>
        <w:t xml:space="preserve"> (Cologne 201</w:t>
      </w:r>
      <w:r>
        <w:rPr>
          <w:szCs w:val="16"/>
          <w:lang w:val="nl-NL"/>
        </w:rPr>
        <w:t>5</w:t>
      </w:r>
      <w:r w:rsidRPr="002E7A75">
        <w:rPr>
          <w:szCs w:val="16"/>
          <w:lang w:val="nl-NL"/>
        </w:rPr>
        <w:t xml:space="preserve">), p. </w:t>
      </w:r>
      <w:r>
        <w:rPr>
          <w:szCs w:val="16"/>
          <w:lang w:val="nl-NL"/>
        </w:rPr>
        <w:t>68</w:t>
      </w:r>
      <w:r w:rsidRPr="002E7A75">
        <w:rPr>
          <w:szCs w:val="16"/>
          <w:lang w:val="nl-NL"/>
        </w:rPr>
        <w:t xml:space="preserve">0; T. Cohen Jehoram </w:t>
      </w:r>
      <w:r w:rsidR="004A1CCD">
        <w:rPr>
          <w:szCs w:val="16"/>
          <w:lang w:val="nl-NL"/>
        </w:rPr>
        <w:t>et al</w:t>
      </w:r>
      <w:r w:rsidR="009751DC">
        <w:rPr>
          <w:szCs w:val="16"/>
          <w:lang w:val="nl-NL"/>
        </w:rPr>
        <w:t>.</w:t>
      </w:r>
      <w:r w:rsidRPr="002E7A75">
        <w:rPr>
          <w:szCs w:val="16"/>
          <w:lang w:val="nl-NL"/>
        </w:rPr>
        <w:t xml:space="preserve">, </w:t>
      </w:r>
      <w:r w:rsidRPr="002E7A75">
        <w:rPr>
          <w:i/>
          <w:szCs w:val="16"/>
          <w:lang w:val="nl-NL"/>
        </w:rPr>
        <w:t xml:space="preserve">Industriële eigendom. </w:t>
      </w:r>
      <w:r w:rsidRPr="00A04A51">
        <w:rPr>
          <w:i/>
          <w:szCs w:val="16"/>
          <w:lang w:val="nl-NL"/>
        </w:rPr>
        <w:t>Deel 2. Merkenrecht</w:t>
      </w:r>
      <w:r w:rsidRPr="00A04A51">
        <w:rPr>
          <w:szCs w:val="16"/>
          <w:lang w:val="nl-NL"/>
        </w:rPr>
        <w:t xml:space="preserve"> (Deventer 2008), p. 239. </w:t>
      </w:r>
    </w:p>
  </w:footnote>
  <w:footnote w:id="2">
    <w:p w:rsidR="000E1CEF" w:rsidRPr="00A04A51" w:rsidRDefault="000E1CEF" w:rsidP="000E1CEF">
      <w:pPr>
        <w:pStyle w:val="Notedebasdepage"/>
        <w:ind w:left="720" w:hanging="720"/>
        <w:rPr>
          <w:lang w:val="nl-NL"/>
        </w:rPr>
      </w:pPr>
      <w:r>
        <w:rPr>
          <w:rStyle w:val="Appelnotedebasdep"/>
        </w:rPr>
        <w:footnoteRef/>
      </w:r>
      <w:r w:rsidRPr="00A04A51">
        <w:rPr>
          <w:lang w:val="nl-NL"/>
        </w:rPr>
        <w:tab/>
        <w:t xml:space="preserve">See also A. Tsoutsanis, </w:t>
      </w:r>
      <w:r w:rsidRPr="00A04A51">
        <w:rPr>
          <w:i/>
          <w:lang w:val="nl-NL"/>
        </w:rPr>
        <w:t>Het merkdepot te kwader trouw</w:t>
      </w:r>
      <w:r w:rsidRPr="00A04A51">
        <w:rPr>
          <w:lang w:val="nl-NL"/>
        </w:rPr>
        <w:t xml:space="preserve"> (2005), p. 4 and A. Tsoutsanis, </w:t>
      </w:r>
      <w:r w:rsidRPr="00A04A51">
        <w:rPr>
          <w:i/>
          <w:lang w:val="nl-NL"/>
        </w:rPr>
        <w:t>Trade mark registrations in bad faith</w:t>
      </w:r>
      <w:r w:rsidRPr="00A04A51">
        <w:rPr>
          <w:lang w:val="nl-NL"/>
        </w:rPr>
        <w:t xml:space="preserve"> (2010).</w:t>
      </w:r>
    </w:p>
  </w:footnote>
  <w:footnote w:id="3">
    <w:p w:rsidR="000E1CEF" w:rsidRPr="001762E7" w:rsidRDefault="000E1CEF" w:rsidP="000E1CEF">
      <w:pPr>
        <w:pStyle w:val="Notedebasdepage"/>
        <w:ind w:left="720" w:hanging="720"/>
      </w:pPr>
      <w:r>
        <w:rPr>
          <w:rStyle w:val="Appelnotedebasdep"/>
        </w:rPr>
        <w:footnoteRef/>
      </w:r>
      <w:r>
        <w:tab/>
        <w:t>Article 6septies (1) Paris Convention also deserves to be mentioned. It provides: "</w:t>
      </w:r>
      <w:r w:rsidRPr="00D916C7">
        <w:rPr>
          <w:i/>
        </w:rPr>
        <w:t xml:space="preserve">If the agent or </w:t>
      </w:r>
      <w:r w:rsidRPr="00BC69AA">
        <w:t>representative</w:t>
      </w:r>
      <w:r w:rsidRPr="00D916C7">
        <w:rPr>
          <w:i/>
        </w:rPr>
        <w:t xml:space="preserve"> of the person who is the proprietor of a mark in one of the countries of the Union applies, without such proprietor’s authorization, for the registration of the mark in his own name, in one or more countries of the Union, the proprietor shall be entitled to oppose the registration applied for or demand its cancellation or, if the law of the country so allows, the assignment in his favor of the said registration, unless such agent or representative justifies his action.</w:t>
      </w:r>
      <w:r>
        <w:t xml:space="preserve">" This provision is not explicitly characterised as describing a type of conduct qualifying as bad faith (and therefore it is not further discussed here), but such conduct can arguably (also) qualify as bad faith. </w:t>
      </w:r>
    </w:p>
  </w:footnote>
  <w:footnote w:id="4">
    <w:p w:rsidR="000E1CEF" w:rsidRPr="009D7857" w:rsidRDefault="000E1CEF" w:rsidP="000E1CEF">
      <w:pPr>
        <w:pStyle w:val="Notedebasdepage"/>
        <w:ind w:left="720" w:hanging="720"/>
      </w:pPr>
      <w:r>
        <w:rPr>
          <w:rStyle w:val="Appelnotedebasdep"/>
        </w:rPr>
        <w:footnoteRef/>
      </w:r>
      <w:r>
        <w:tab/>
        <w:t xml:space="preserve">In this respect, </w:t>
      </w:r>
      <w:r w:rsidR="00521E81">
        <w:t xml:space="preserve">Kerly </w:t>
      </w:r>
      <w:r>
        <w:t>refer</w:t>
      </w:r>
      <w:r w:rsidR="00521E81">
        <w:t>s at p. 261</w:t>
      </w:r>
      <w:r>
        <w:t xml:space="preserve"> to case law in which the following is stated: </w:t>
      </w:r>
      <w:r w:rsidRPr="009D7857">
        <w:rPr>
          <w:i/>
        </w:rPr>
        <w:t>"… how far a dealing must so fall-short in order to amoun</w:t>
      </w:r>
      <w:r>
        <w:rPr>
          <w:i/>
        </w:rPr>
        <w:t>t</w:t>
      </w:r>
      <w:r w:rsidRPr="009D7857">
        <w:rPr>
          <w:i/>
        </w:rPr>
        <w:t xml:space="preserve"> to bad faith is a matter best left to be adjudged not by some paraphrase by the courts (which leads to the danger of the courts then construing not the Act but the paraphrase) but by reference to the words of the Act and upon a regard to all material surrounding circumstances</w:t>
      </w:r>
      <w:r>
        <w:t>."</w:t>
      </w:r>
    </w:p>
  </w:footnote>
  <w:footnote w:id="5">
    <w:p w:rsidR="000E1CEF" w:rsidRPr="008D3BCB" w:rsidRDefault="000E1CEF" w:rsidP="000E1CEF">
      <w:pPr>
        <w:pStyle w:val="Notedebasdepage"/>
        <w:ind w:left="720" w:hanging="720"/>
      </w:pPr>
      <w:r>
        <w:rPr>
          <w:rStyle w:val="Appelnotedebasdep"/>
        </w:rPr>
        <w:footnoteRef/>
      </w:r>
      <w:r>
        <w:tab/>
        <w:t>In the previous Trademark Directive (2008/95/EC), the relevant provisions were art. 3(2)(d) resp. art. 4(4)(g), with the latter worded slightly differently than the current article.</w:t>
      </w:r>
    </w:p>
  </w:footnote>
  <w:footnote w:id="6">
    <w:p w:rsidR="000E1CEF" w:rsidRPr="00F4744A" w:rsidRDefault="000E1CEF" w:rsidP="000E1CEF">
      <w:pPr>
        <w:pStyle w:val="Notedebasdepage"/>
        <w:rPr>
          <w:lang w:val="nl-NL"/>
        </w:rPr>
      </w:pPr>
      <w:r>
        <w:rPr>
          <w:rStyle w:val="Appelnotedebasdep"/>
        </w:rPr>
        <w:footnoteRef/>
      </w:r>
      <w:r>
        <w:rPr>
          <w:lang w:val="nl-NL"/>
        </w:rPr>
        <w:tab/>
      </w:r>
      <w:r w:rsidRPr="00F4744A">
        <w:rPr>
          <w:lang w:val="nl-NL"/>
        </w:rPr>
        <w:t>ECJ 11 June 2009, C-529/07 (</w:t>
      </w:r>
      <w:r w:rsidRPr="00CA0EC3">
        <w:rPr>
          <w:b/>
          <w:i/>
          <w:lang w:val="nl-NL"/>
        </w:rPr>
        <w:t>Lindt</w:t>
      </w:r>
      <w:r w:rsidRPr="00F4744A">
        <w:rPr>
          <w:lang w:val="nl-NL"/>
        </w:rPr>
        <w:t>).</w:t>
      </w:r>
    </w:p>
  </w:footnote>
  <w:footnote w:id="7">
    <w:p w:rsidR="000E1CEF" w:rsidRPr="00F4744A" w:rsidRDefault="000E1CEF" w:rsidP="000E1CEF">
      <w:pPr>
        <w:pStyle w:val="Notedebasdepage"/>
        <w:rPr>
          <w:lang w:val="nl-NL"/>
        </w:rPr>
      </w:pPr>
      <w:r>
        <w:rPr>
          <w:rStyle w:val="Appelnotedebasdep"/>
        </w:rPr>
        <w:footnoteRef/>
      </w:r>
      <w:r>
        <w:rPr>
          <w:lang w:val="nl-NL"/>
        </w:rPr>
        <w:tab/>
      </w:r>
      <w:r w:rsidRPr="00F4744A">
        <w:rPr>
          <w:lang w:val="nl-NL"/>
        </w:rPr>
        <w:t>ECJ 27 June 2013, C</w:t>
      </w:r>
      <w:r w:rsidRPr="00F4744A">
        <w:rPr>
          <w:rFonts w:ascii="MS Gothic" w:eastAsia="MS Gothic" w:hAnsi="MS Gothic" w:cs="MS Gothic" w:hint="eastAsia"/>
          <w:lang w:val="nl-NL"/>
        </w:rPr>
        <w:t>‑</w:t>
      </w:r>
      <w:r w:rsidRPr="00F4744A">
        <w:rPr>
          <w:lang w:val="nl-NL"/>
        </w:rPr>
        <w:t>320/12 (</w:t>
      </w:r>
      <w:r w:rsidRPr="00CA0EC3">
        <w:rPr>
          <w:b/>
          <w:i/>
          <w:lang w:val="nl-NL"/>
        </w:rPr>
        <w:t>Malaysian Dairy</w:t>
      </w:r>
      <w:r w:rsidRPr="00F4744A">
        <w:rPr>
          <w:lang w:val="nl-NL"/>
        </w:rPr>
        <w:t>).</w:t>
      </w:r>
    </w:p>
  </w:footnote>
  <w:footnote w:id="8">
    <w:p w:rsidR="000E1CEF" w:rsidRPr="00B3590F" w:rsidRDefault="000E1CEF" w:rsidP="000E1CEF">
      <w:pPr>
        <w:pStyle w:val="Notedebasdepage"/>
      </w:pPr>
      <w:r>
        <w:rPr>
          <w:rStyle w:val="Appelnotedebasdep"/>
        </w:rPr>
        <w:footnoteRef/>
      </w:r>
      <w:r>
        <w:rPr>
          <w:i/>
        </w:rPr>
        <w:tab/>
      </w:r>
      <w:r w:rsidRPr="00B3590F">
        <w:rPr>
          <w:i/>
        </w:rPr>
        <w:t xml:space="preserve">Explanatory Memorandum to the </w:t>
      </w:r>
      <w:r>
        <w:rPr>
          <w:i/>
        </w:rPr>
        <w:t>Trade Mark</w:t>
      </w:r>
      <w:r w:rsidRPr="00B3590F">
        <w:rPr>
          <w:i/>
        </w:rPr>
        <w:t>s Amendment Bill 2006</w:t>
      </w:r>
      <w:r>
        <w:t xml:space="preserve"> at 4.12.1.</w:t>
      </w:r>
    </w:p>
  </w:footnote>
  <w:footnote w:id="9">
    <w:p w:rsidR="000E1CEF" w:rsidRPr="002D66FC" w:rsidRDefault="000E1CEF" w:rsidP="000E1CEF">
      <w:pPr>
        <w:pStyle w:val="Notedebasdepage"/>
      </w:pPr>
      <w:r>
        <w:rPr>
          <w:rStyle w:val="Appelnotedebasdep"/>
        </w:rPr>
        <w:footnoteRef/>
      </w:r>
      <w:r>
        <w:tab/>
      </w:r>
      <w:r w:rsidRPr="002D66FC">
        <w:t>(No 2) [2012] FCA 81</w:t>
      </w:r>
      <w:r>
        <w:t>. S</w:t>
      </w:r>
      <w:r w:rsidRPr="002D66FC">
        <w:t xml:space="preserve">ee also </w:t>
      </w:r>
      <w:r w:rsidRPr="0023052B">
        <w:rPr>
          <w:i/>
        </w:rPr>
        <w:t>DC Comics v Cheqout Pty Limited</w:t>
      </w:r>
      <w:r w:rsidRPr="008E695F">
        <w:t xml:space="preserve"> </w:t>
      </w:r>
      <w:r>
        <w:t>[2013] FCA 478.</w:t>
      </w:r>
    </w:p>
  </w:footnote>
  <w:footnote w:id="10">
    <w:p w:rsidR="000E1CEF" w:rsidRPr="00B3590F" w:rsidRDefault="000E1CEF" w:rsidP="000E1CEF">
      <w:pPr>
        <w:pStyle w:val="Notedebasdepage"/>
        <w:ind w:left="720" w:hanging="720"/>
      </w:pPr>
      <w:r>
        <w:rPr>
          <w:rStyle w:val="Appelnotedebasdep"/>
        </w:rPr>
        <w:footnoteRef/>
      </w:r>
      <w:r>
        <w:tab/>
      </w:r>
      <w:r w:rsidR="00521E81">
        <w:t>Shanahan,</w:t>
      </w:r>
      <w:r>
        <w:t xml:space="preserve"> p. 461</w:t>
      </w:r>
      <w:r w:rsidR="00521E81">
        <w:t xml:space="preserve"> citing </w:t>
      </w:r>
      <w:r w:rsidR="00521E81" w:rsidRPr="0063371C">
        <w:rPr>
          <w:i/>
        </w:rPr>
        <w:t>Marvel Characters Inc v Charles</w:t>
      </w:r>
      <w:r w:rsidR="00521E81">
        <w:t xml:space="preserve"> [2011] ATMO 92</w:t>
      </w:r>
      <w:r>
        <w:t>.</w:t>
      </w:r>
    </w:p>
  </w:footnote>
  <w:footnote w:id="11">
    <w:p w:rsidR="000E1CEF" w:rsidRPr="005262AD" w:rsidRDefault="000E1CEF" w:rsidP="000E1CEF">
      <w:pPr>
        <w:pStyle w:val="Notedebasdepage"/>
        <w:ind w:left="720" w:hanging="720"/>
      </w:pPr>
      <w:r>
        <w:rPr>
          <w:rStyle w:val="Appelnotedebasdep"/>
        </w:rPr>
        <w:footnoteRef/>
      </w:r>
      <w:r>
        <w:tab/>
        <w:t xml:space="preserve">J.T. McCarthy, </w:t>
      </w:r>
      <w:r w:rsidRPr="005262AD">
        <w:rPr>
          <w:i/>
        </w:rPr>
        <w:t>McCarthy on trademarks and unfair competition</w:t>
      </w:r>
      <w:r>
        <w:t xml:space="preserve"> (2012), par. 23:116.</w:t>
      </w:r>
    </w:p>
  </w:footnote>
  <w:footnote w:id="12">
    <w:p w:rsidR="000E1CEF" w:rsidRPr="00C6316F" w:rsidRDefault="000E1CEF" w:rsidP="000E1CEF">
      <w:pPr>
        <w:pStyle w:val="Notedebasdepage"/>
        <w:ind w:left="720" w:hanging="720"/>
      </w:pPr>
      <w:r>
        <w:rPr>
          <w:rStyle w:val="Appelnotedebasdep"/>
        </w:rPr>
        <w:footnoteRef/>
      </w:r>
      <w:r>
        <w:tab/>
        <w:t>Second Board of Appeal 13 February 2014,</w:t>
      </w:r>
      <w:r w:rsidRPr="00C6316F">
        <w:t xml:space="preserve"> Case R 1260/2013-2</w:t>
      </w:r>
      <w:r>
        <w:t xml:space="preserve"> (</w:t>
      </w:r>
      <w:r w:rsidRPr="00B80B38">
        <w:rPr>
          <w:b/>
          <w:i/>
        </w:rPr>
        <w:t>Kabelplus/Canal+</w:t>
      </w:r>
      <w:r>
        <w:t>).</w:t>
      </w:r>
      <w:r w:rsidRPr="00C6316F">
        <w:t xml:space="preserve"> </w:t>
      </w:r>
      <w:r>
        <w:t>See also Fourth Board of Appeal 15 November 2011, Case R 1785/2008-4 (</w:t>
      </w:r>
      <w:r w:rsidRPr="00B80B38">
        <w:rPr>
          <w:b/>
          <w:i/>
        </w:rPr>
        <w:t>Pathfinder</w:t>
      </w:r>
      <w:r>
        <w:t>), in which the board distinguished lack of genuine use from bad faith: "</w:t>
      </w:r>
      <w:r w:rsidRPr="006801C9">
        <w:rPr>
          <w:i/>
        </w:rPr>
        <w:t>The sanction applied in the present decision is less severe than a finding of bad faith; where the latter would have excluded enforceability once and forever, the former gave the opponent a fair chance to prove that at least at some point in time the mark was used.</w:t>
      </w:r>
      <w:r>
        <w:t>"</w:t>
      </w:r>
    </w:p>
  </w:footnote>
  <w:footnote w:id="13">
    <w:p w:rsidR="000E1CEF" w:rsidRPr="004C4EDF" w:rsidRDefault="000E1CEF" w:rsidP="000E1CEF">
      <w:pPr>
        <w:pStyle w:val="Notedebasdepage"/>
      </w:pPr>
      <w:r>
        <w:rPr>
          <w:rStyle w:val="Appelnotedebasdep"/>
        </w:rPr>
        <w:footnoteRef/>
      </w:r>
      <w:r>
        <w:tab/>
        <w:t>Second Board of Appeal 9 December 2010,</w:t>
      </w:r>
      <w:r w:rsidRPr="004C4EDF">
        <w:t xml:space="preserve"> Case R 1428/2009-2</w:t>
      </w:r>
      <w:r>
        <w:t xml:space="preserve"> (</w:t>
      </w:r>
      <w:r w:rsidRPr="00B80B38">
        <w:rPr>
          <w:b/>
          <w:i/>
        </w:rPr>
        <w:t>Pelikan</w:t>
      </w:r>
      <w:r>
        <w:t>).</w:t>
      </w:r>
    </w:p>
  </w:footnote>
  <w:footnote w:id="14">
    <w:p w:rsidR="000E1CEF" w:rsidRPr="004C4EDF" w:rsidRDefault="000E1CEF" w:rsidP="000E1CEF">
      <w:pPr>
        <w:pStyle w:val="Notedebasdepage"/>
        <w:ind w:left="720" w:hanging="720"/>
        <w:rPr>
          <w:lang w:val="en-GB"/>
        </w:rPr>
      </w:pPr>
      <w:r>
        <w:rPr>
          <w:rStyle w:val="Appelnotedebasdep"/>
        </w:rPr>
        <w:footnoteRef/>
      </w:r>
      <w:r>
        <w:rPr>
          <w:lang w:val="en-GB"/>
        </w:rPr>
        <w:tab/>
      </w:r>
      <w:r w:rsidRPr="004C4EDF">
        <w:rPr>
          <w:lang w:val="en-GB"/>
        </w:rPr>
        <w:t>ECJ 3 June 2010, C-569/08 (</w:t>
      </w:r>
      <w:r w:rsidRPr="00B151E9">
        <w:rPr>
          <w:b/>
          <w:i/>
          <w:lang w:val="en-GB"/>
        </w:rPr>
        <w:t>Internetportal</w:t>
      </w:r>
      <w:r w:rsidRPr="004C4EDF">
        <w:rPr>
          <w:lang w:val="en-GB"/>
        </w:rPr>
        <w:t>), in which the court ruled (</w:t>
      </w:r>
      <w:r>
        <w:rPr>
          <w:lang w:val="en-GB"/>
        </w:rPr>
        <w:t xml:space="preserve">although </w:t>
      </w:r>
      <w:r w:rsidRPr="004C4EDF">
        <w:rPr>
          <w:lang w:val="en-GB"/>
        </w:rPr>
        <w:t xml:space="preserve">in the context of Regulation </w:t>
      </w:r>
      <w:r>
        <w:rPr>
          <w:lang w:val="en-GB"/>
        </w:rPr>
        <w:t>874/2004) that a</w:t>
      </w:r>
      <w:r w:rsidRPr="004C4EDF">
        <w:rPr>
          <w:lang w:val="en-GB"/>
        </w:rPr>
        <w:t xml:space="preserve"> repetitive nature of conduct</w:t>
      </w:r>
      <w:r>
        <w:rPr>
          <w:lang w:val="en-GB"/>
        </w:rPr>
        <w:t xml:space="preserve"> (see legal ground 51)</w:t>
      </w:r>
      <w:r w:rsidRPr="004C4EDF">
        <w:rPr>
          <w:lang w:val="en-GB"/>
        </w:rPr>
        <w:t xml:space="preserve"> </w:t>
      </w:r>
      <w:r>
        <w:rPr>
          <w:lang w:val="en-GB"/>
        </w:rPr>
        <w:t xml:space="preserve">and also </w:t>
      </w:r>
      <w:r w:rsidRPr="004C4EDF">
        <w:rPr>
          <w:lang w:val="en-GB"/>
        </w:rPr>
        <w:t xml:space="preserve">the intention not to use the </w:t>
      </w:r>
      <w:r>
        <w:rPr>
          <w:lang w:val="en-GB"/>
        </w:rPr>
        <w:t>trademark</w:t>
      </w:r>
      <w:r w:rsidRPr="004C4EDF">
        <w:rPr>
          <w:lang w:val="en-GB"/>
        </w:rPr>
        <w:t xml:space="preserve"> in the market for which </w:t>
      </w:r>
      <w:r>
        <w:rPr>
          <w:lang w:val="en-GB"/>
        </w:rPr>
        <w:t>protection was sought (see legal ground 46) can be a relevant factor when assessing bad faith.</w:t>
      </w:r>
      <w:r w:rsidRPr="004C4EDF">
        <w:t xml:space="preserve"> </w:t>
      </w:r>
    </w:p>
  </w:footnote>
  <w:footnote w:id="15">
    <w:p w:rsidR="000E1CEF" w:rsidRPr="007933B2" w:rsidRDefault="000E1CEF" w:rsidP="000E1CEF">
      <w:pPr>
        <w:pStyle w:val="Notedebasdepage"/>
        <w:ind w:left="720" w:hanging="720"/>
        <w:rPr>
          <w:lang w:val="en-GB"/>
        </w:rPr>
      </w:pPr>
      <w:r>
        <w:rPr>
          <w:rStyle w:val="Appelnotedebasdep"/>
        </w:rPr>
        <w:footnoteRef/>
      </w:r>
      <w:r>
        <w:tab/>
      </w:r>
      <w:r w:rsidRPr="007933B2">
        <w:rPr>
          <w:lang w:val="en-GB"/>
        </w:rPr>
        <w:t xml:space="preserve">See also </w:t>
      </w:r>
      <w:r w:rsidR="00521E81">
        <w:rPr>
          <w:lang w:val="en-GB"/>
        </w:rPr>
        <w:t>Kerly</w:t>
      </w:r>
      <w:r w:rsidRPr="007933B2">
        <w:rPr>
          <w:lang w:val="en-GB"/>
        </w:rPr>
        <w:t xml:space="preserve"> p. 2</w:t>
      </w:r>
      <w:r>
        <w:rPr>
          <w:lang w:val="en-GB"/>
        </w:rPr>
        <w:t>76</w:t>
      </w:r>
      <w:r w:rsidRPr="007933B2">
        <w:rPr>
          <w:lang w:val="en-GB"/>
        </w:rPr>
        <w:t>-2</w:t>
      </w:r>
      <w:r>
        <w:rPr>
          <w:lang w:val="en-GB"/>
        </w:rPr>
        <w:t>77</w:t>
      </w:r>
      <w:r w:rsidRPr="007933B2">
        <w:rPr>
          <w:lang w:val="en-GB"/>
        </w:rPr>
        <w:t xml:space="preserve">. </w:t>
      </w:r>
      <w:r>
        <w:rPr>
          <w:lang w:val="en-GB"/>
        </w:rPr>
        <w:t>The</w:t>
      </w:r>
      <w:r w:rsidR="00627B36">
        <w:rPr>
          <w:lang w:val="en-GB"/>
        </w:rPr>
        <w:t xml:space="preserve"> authors</w:t>
      </w:r>
      <w:r>
        <w:rPr>
          <w:lang w:val="en-GB"/>
        </w:rPr>
        <w:t xml:space="preserve"> </w:t>
      </w:r>
      <w:r w:rsidR="0063371C">
        <w:rPr>
          <w:lang w:val="en-GB"/>
        </w:rPr>
        <w:t>opine</w:t>
      </w:r>
      <w:r w:rsidRPr="007933B2">
        <w:rPr>
          <w:lang w:val="en-GB"/>
        </w:rPr>
        <w:t xml:space="preserve"> that a provision requiring an intent to use at some point in the five years after the trademark is r</w:t>
      </w:r>
      <w:r>
        <w:rPr>
          <w:lang w:val="en-GB"/>
        </w:rPr>
        <w:t xml:space="preserve">egistered may be </w:t>
      </w:r>
      <w:r w:rsidRPr="007933B2">
        <w:rPr>
          <w:lang w:val="en-GB"/>
        </w:rPr>
        <w:t>compatible</w:t>
      </w:r>
      <w:r>
        <w:rPr>
          <w:lang w:val="en-GB"/>
        </w:rPr>
        <w:t xml:space="preserve"> with TRIPs</w:t>
      </w:r>
      <w:r w:rsidRPr="007933B2">
        <w:rPr>
          <w:lang w:val="en-GB"/>
        </w:rPr>
        <w:t xml:space="preserve">, but that a provision requiring a </w:t>
      </w:r>
      <w:r>
        <w:rPr>
          <w:lang w:val="en-GB"/>
        </w:rPr>
        <w:t>"</w:t>
      </w:r>
      <w:r w:rsidRPr="007933B2">
        <w:rPr>
          <w:i/>
          <w:lang w:val="en-GB"/>
        </w:rPr>
        <w:t>present and settled intention</w:t>
      </w:r>
      <w:r>
        <w:rPr>
          <w:lang w:val="en-GB"/>
        </w:rPr>
        <w:t>"</w:t>
      </w:r>
      <w:r w:rsidRPr="007933B2">
        <w:rPr>
          <w:lang w:val="en-GB"/>
        </w:rPr>
        <w:t xml:space="preserve"> </w:t>
      </w:r>
      <w:r>
        <w:rPr>
          <w:lang w:val="en-GB"/>
        </w:rPr>
        <w:t xml:space="preserve">at the time of application </w:t>
      </w:r>
      <w:r w:rsidRPr="007933B2">
        <w:rPr>
          <w:lang w:val="en-GB"/>
        </w:rPr>
        <w:t>is not compatible</w:t>
      </w:r>
      <w:r>
        <w:rPr>
          <w:lang w:val="en-GB"/>
        </w:rPr>
        <w:t>.</w:t>
      </w:r>
    </w:p>
  </w:footnote>
  <w:footnote w:id="16">
    <w:p w:rsidR="000E1CEF" w:rsidRPr="00A9031E" w:rsidRDefault="000E1CEF" w:rsidP="000E1CEF">
      <w:pPr>
        <w:pStyle w:val="Notedebasdepage"/>
        <w:rPr>
          <w:lang w:val="en-GB"/>
        </w:rPr>
      </w:pPr>
      <w:r>
        <w:rPr>
          <w:rStyle w:val="Appelnotedebasdep"/>
        </w:rPr>
        <w:footnoteRef/>
      </w:r>
      <w:r>
        <w:t xml:space="preserve"> </w:t>
      </w:r>
      <w:r>
        <w:rPr>
          <w:lang w:val="en-GB"/>
        </w:rPr>
        <w:t>Including</w:t>
      </w:r>
      <w:r w:rsidRPr="000C38F7">
        <w:rPr>
          <w:lang w:val="en-GB"/>
        </w:rPr>
        <w:t xml:space="preserve"> fraud</w:t>
      </w:r>
      <w:r>
        <w:rPr>
          <w:lang w:val="en-GB"/>
        </w:rPr>
        <w:t xml:space="preserve"> within the context of this Study Question, as explained on</w:t>
      </w:r>
      <w:r w:rsidRPr="000C38F7">
        <w:rPr>
          <w:lang w:val="en-GB"/>
        </w:rPr>
        <w:t xml:space="preserve"> </w:t>
      </w:r>
      <w:r w:rsidRPr="00A9031E">
        <w:rPr>
          <w:lang w:val="en-GB"/>
        </w:rPr>
        <w:t xml:space="preserve">p. 1 </w:t>
      </w:r>
      <w:r w:rsidR="00627B36">
        <w:rPr>
          <w:lang w:val="en-GB"/>
        </w:rPr>
        <w:t>at paragraph</w:t>
      </w:r>
      <w:r w:rsidRPr="00A9031E">
        <w:rPr>
          <w:lang w:val="en-GB"/>
        </w:rPr>
        <w:t xml:space="preserve"> 5).</w:t>
      </w:r>
    </w:p>
  </w:footnote>
  <w:footnote w:id="17">
    <w:p w:rsidR="000E1CEF" w:rsidRPr="00A9031E" w:rsidRDefault="000E1CEF" w:rsidP="000E1CEF">
      <w:pPr>
        <w:pStyle w:val="Notedebasdepage"/>
        <w:rPr>
          <w:lang w:val="en-GB"/>
        </w:rPr>
      </w:pPr>
      <w:r>
        <w:rPr>
          <w:rStyle w:val="Appelnotedebasdep"/>
        </w:rPr>
        <w:footnoteRef/>
      </w:r>
      <w:r>
        <w:t xml:space="preserve"> </w:t>
      </w:r>
      <w:r w:rsidRPr="007608D4">
        <w:t xml:space="preserve">Including fraud within the context of this Study Question, as explained on p. 1 under </w:t>
      </w:r>
      <w:r w:rsidR="00627B36">
        <w:t xml:space="preserve">paragraph </w:t>
      </w:r>
      <w:r w:rsidRPr="007608D4">
        <w:t>5)</w:t>
      </w:r>
      <w:r w:rsidR="00627B36">
        <w:t xml:space="preserve"> above</w:t>
      </w:r>
      <w:r w:rsidRPr="007608D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4EB4B2"/>
    <w:lvl w:ilvl="0">
      <w:start w:val="1"/>
      <w:numFmt w:val="decimal"/>
      <w:lvlText w:val="%1."/>
      <w:lvlJc w:val="left"/>
      <w:pPr>
        <w:tabs>
          <w:tab w:val="num" w:pos="1492"/>
        </w:tabs>
        <w:ind w:left="1492" w:hanging="360"/>
      </w:pPr>
    </w:lvl>
  </w:abstractNum>
  <w:abstractNum w:abstractNumId="1">
    <w:nsid w:val="FFFFFF7D"/>
    <w:multiLevelType w:val="singleLevel"/>
    <w:tmpl w:val="F1CCC650"/>
    <w:lvl w:ilvl="0">
      <w:start w:val="1"/>
      <w:numFmt w:val="decimal"/>
      <w:lvlText w:val="%1."/>
      <w:lvlJc w:val="left"/>
      <w:pPr>
        <w:tabs>
          <w:tab w:val="num" w:pos="1209"/>
        </w:tabs>
        <w:ind w:left="1209" w:hanging="360"/>
      </w:pPr>
    </w:lvl>
  </w:abstractNum>
  <w:abstractNum w:abstractNumId="2">
    <w:nsid w:val="FFFFFF7E"/>
    <w:multiLevelType w:val="singleLevel"/>
    <w:tmpl w:val="041CFD3E"/>
    <w:lvl w:ilvl="0">
      <w:start w:val="1"/>
      <w:numFmt w:val="decimal"/>
      <w:lvlText w:val="%1."/>
      <w:lvlJc w:val="left"/>
      <w:pPr>
        <w:tabs>
          <w:tab w:val="num" w:pos="926"/>
        </w:tabs>
        <w:ind w:left="926" w:hanging="360"/>
      </w:pPr>
    </w:lvl>
  </w:abstractNum>
  <w:abstractNum w:abstractNumId="3">
    <w:nsid w:val="FFFFFF7F"/>
    <w:multiLevelType w:val="singleLevel"/>
    <w:tmpl w:val="793C6242"/>
    <w:lvl w:ilvl="0">
      <w:start w:val="1"/>
      <w:numFmt w:val="decimal"/>
      <w:lvlText w:val="%1."/>
      <w:lvlJc w:val="left"/>
      <w:pPr>
        <w:tabs>
          <w:tab w:val="num" w:pos="643"/>
        </w:tabs>
        <w:ind w:left="643" w:hanging="360"/>
      </w:pPr>
    </w:lvl>
  </w:abstractNum>
  <w:abstractNum w:abstractNumId="4">
    <w:nsid w:val="FFFFFF80"/>
    <w:multiLevelType w:val="singleLevel"/>
    <w:tmpl w:val="1BC4AA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5245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7DC53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73883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2084F0"/>
    <w:lvl w:ilvl="0">
      <w:start w:val="1"/>
      <w:numFmt w:val="decimal"/>
      <w:lvlText w:val="%1."/>
      <w:lvlJc w:val="left"/>
      <w:pPr>
        <w:tabs>
          <w:tab w:val="num" w:pos="360"/>
        </w:tabs>
        <w:ind w:left="360" w:hanging="360"/>
      </w:pPr>
    </w:lvl>
  </w:abstractNum>
  <w:abstractNum w:abstractNumId="9">
    <w:nsid w:val="FFFFFF89"/>
    <w:multiLevelType w:val="singleLevel"/>
    <w:tmpl w:val="325071BC"/>
    <w:lvl w:ilvl="0">
      <w:start w:val="1"/>
      <w:numFmt w:val="bullet"/>
      <w:lvlText w:val=""/>
      <w:lvlJc w:val="left"/>
      <w:pPr>
        <w:tabs>
          <w:tab w:val="num" w:pos="360"/>
        </w:tabs>
        <w:ind w:left="360" w:hanging="360"/>
      </w:pPr>
      <w:rPr>
        <w:rFonts w:ascii="Symbol" w:hAnsi="Symbol" w:hint="default"/>
      </w:rPr>
    </w:lvl>
  </w:abstractNum>
  <w:abstractNum w:abstractNumId="10">
    <w:nsid w:val="00000006"/>
    <w:multiLevelType w:val="multilevel"/>
    <w:tmpl w:val="894EE878"/>
    <w:lvl w:ilvl="0">
      <w:start w:val="1"/>
      <w:numFmt w:val="decimal"/>
      <w:pStyle w:val="ImportWordListStyleDefinition3"/>
      <w:lvlText w:val="%1."/>
      <w:lvlJc w:val="left"/>
      <w:pPr>
        <w:tabs>
          <w:tab w:val="num" w:pos="360"/>
        </w:tabs>
        <w:ind w:left="360" w:firstLine="360"/>
      </w:pPr>
      <w:rPr>
        <w:rFonts w:hint="default"/>
        <w:position w:val="0"/>
      </w:rPr>
    </w:lvl>
    <w:lvl w:ilvl="1">
      <w:start w:val="1"/>
      <w:numFmt w:val="lowerLetter"/>
      <w:lvlText w:val="%2."/>
      <w:lvlJc w:val="left"/>
      <w:pPr>
        <w:tabs>
          <w:tab w:val="num" w:pos="360"/>
        </w:tabs>
        <w:ind w:left="360" w:firstLine="1080"/>
      </w:pPr>
      <w:rPr>
        <w:rFonts w:hint="default"/>
        <w:position w:val="0"/>
      </w:rPr>
    </w:lvl>
    <w:lvl w:ilvl="2">
      <w:start w:val="1"/>
      <w:numFmt w:val="lowerRoman"/>
      <w:lvlText w:val="%3."/>
      <w:lvlJc w:val="left"/>
      <w:pPr>
        <w:tabs>
          <w:tab w:val="num" w:pos="296"/>
        </w:tabs>
        <w:ind w:left="296" w:firstLine="1864"/>
      </w:pPr>
      <w:rPr>
        <w:rFonts w:hint="default"/>
        <w:position w:val="0"/>
      </w:rPr>
    </w:lvl>
    <w:lvl w:ilvl="3">
      <w:start w:val="1"/>
      <w:numFmt w:val="decimal"/>
      <w:lvlText w:val="%4."/>
      <w:lvlJc w:val="left"/>
      <w:pPr>
        <w:tabs>
          <w:tab w:val="num" w:pos="360"/>
        </w:tabs>
        <w:ind w:left="360" w:firstLine="2520"/>
      </w:pPr>
      <w:rPr>
        <w:rFonts w:hint="default"/>
        <w:position w:val="0"/>
      </w:rPr>
    </w:lvl>
    <w:lvl w:ilvl="4">
      <w:start w:val="1"/>
      <w:numFmt w:val="lowerLetter"/>
      <w:lvlText w:val="%5."/>
      <w:lvlJc w:val="left"/>
      <w:pPr>
        <w:tabs>
          <w:tab w:val="num" w:pos="360"/>
        </w:tabs>
        <w:ind w:left="360" w:firstLine="3240"/>
      </w:pPr>
      <w:rPr>
        <w:rFonts w:hint="default"/>
        <w:position w:val="0"/>
      </w:rPr>
    </w:lvl>
    <w:lvl w:ilvl="5">
      <w:start w:val="1"/>
      <w:numFmt w:val="lowerRoman"/>
      <w:lvlText w:val="%6."/>
      <w:lvlJc w:val="left"/>
      <w:pPr>
        <w:tabs>
          <w:tab w:val="num" w:pos="296"/>
        </w:tabs>
        <w:ind w:left="296" w:firstLine="4024"/>
      </w:pPr>
      <w:rPr>
        <w:rFonts w:hint="default"/>
        <w:position w:val="0"/>
      </w:rPr>
    </w:lvl>
    <w:lvl w:ilvl="6">
      <w:start w:val="1"/>
      <w:numFmt w:val="decimal"/>
      <w:lvlText w:val="%7."/>
      <w:lvlJc w:val="left"/>
      <w:pPr>
        <w:tabs>
          <w:tab w:val="num" w:pos="360"/>
        </w:tabs>
        <w:ind w:left="360" w:firstLine="4680"/>
      </w:pPr>
      <w:rPr>
        <w:rFonts w:hint="default"/>
        <w:position w:val="0"/>
      </w:rPr>
    </w:lvl>
    <w:lvl w:ilvl="7">
      <w:start w:val="1"/>
      <w:numFmt w:val="lowerLetter"/>
      <w:lvlText w:val="%8."/>
      <w:lvlJc w:val="left"/>
      <w:pPr>
        <w:tabs>
          <w:tab w:val="num" w:pos="360"/>
        </w:tabs>
        <w:ind w:left="360" w:firstLine="5400"/>
      </w:pPr>
      <w:rPr>
        <w:rFonts w:hint="default"/>
        <w:position w:val="0"/>
      </w:rPr>
    </w:lvl>
    <w:lvl w:ilvl="8">
      <w:start w:val="1"/>
      <w:numFmt w:val="lowerRoman"/>
      <w:lvlText w:val="%9."/>
      <w:lvlJc w:val="left"/>
      <w:pPr>
        <w:tabs>
          <w:tab w:val="num" w:pos="296"/>
        </w:tabs>
        <w:ind w:left="296" w:firstLine="6184"/>
      </w:pPr>
      <w:rPr>
        <w:rFonts w:hint="default"/>
        <w:position w:val="0"/>
      </w:rPr>
    </w:lvl>
  </w:abstractNum>
  <w:abstractNum w:abstractNumId="11">
    <w:nsid w:val="0190327D"/>
    <w:multiLevelType w:val="hybridMultilevel"/>
    <w:tmpl w:val="5306756C"/>
    <w:lvl w:ilvl="0" w:tplc="6DF6FB9A">
      <w:start w:val="1"/>
      <w:numFmt w:val="lowerLetter"/>
      <w:lvlText w:val="%1)"/>
      <w:lvlJc w:val="left"/>
      <w:pPr>
        <w:ind w:left="1800" w:hanging="360"/>
      </w:pPr>
    </w:lvl>
    <w:lvl w:ilvl="1" w:tplc="08070019" w:tentative="1">
      <w:start w:val="1"/>
      <w:numFmt w:val="lowerLetter"/>
      <w:lvlText w:val="%2."/>
      <w:lvlJc w:val="left"/>
      <w:pPr>
        <w:ind w:left="2520" w:hanging="360"/>
      </w:pPr>
    </w:lvl>
    <w:lvl w:ilvl="2" w:tplc="0807001B" w:tentative="1">
      <w:start w:val="1"/>
      <w:numFmt w:val="lowerRoman"/>
      <w:lvlText w:val="%3."/>
      <w:lvlJc w:val="right"/>
      <w:pPr>
        <w:ind w:left="3240" w:hanging="180"/>
      </w:pPr>
    </w:lvl>
    <w:lvl w:ilvl="3" w:tplc="0807000F" w:tentative="1">
      <w:start w:val="1"/>
      <w:numFmt w:val="decimal"/>
      <w:lvlText w:val="%4."/>
      <w:lvlJc w:val="left"/>
      <w:pPr>
        <w:ind w:left="3960" w:hanging="360"/>
      </w:pPr>
    </w:lvl>
    <w:lvl w:ilvl="4" w:tplc="08070019" w:tentative="1">
      <w:start w:val="1"/>
      <w:numFmt w:val="lowerLetter"/>
      <w:lvlText w:val="%5."/>
      <w:lvlJc w:val="left"/>
      <w:pPr>
        <w:ind w:left="4680" w:hanging="360"/>
      </w:pPr>
    </w:lvl>
    <w:lvl w:ilvl="5" w:tplc="0807001B" w:tentative="1">
      <w:start w:val="1"/>
      <w:numFmt w:val="lowerRoman"/>
      <w:lvlText w:val="%6."/>
      <w:lvlJc w:val="right"/>
      <w:pPr>
        <w:ind w:left="5400" w:hanging="180"/>
      </w:pPr>
    </w:lvl>
    <w:lvl w:ilvl="6" w:tplc="0807000F" w:tentative="1">
      <w:start w:val="1"/>
      <w:numFmt w:val="decimal"/>
      <w:lvlText w:val="%7."/>
      <w:lvlJc w:val="left"/>
      <w:pPr>
        <w:ind w:left="6120" w:hanging="360"/>
      </w:pPr>
    </w:lvl>
    <w:lvl w:ilvl="7" w:tplc="08070019" w:tentative="1">
      <w:start w:val="1"/>
      <w:numFmt w:val="lowerLetter"/>
      <w:lvlText w:val="%8."/>
      <w:lvlJc w:val="left"/>
      <w:pPr>
        <w:ind w:left="6840" w:hanging="360"/>
      </w:pPr>
    </w:lvl>
    <w:lvl w:ilvl="8" w:tplc="0807001B" w:tentative="1">
      <w:start w:val="1"/>
      <w:numFmt w:val="lowerRoman"/>
      <w:lvlText w:val="%9."/>
      <w:lvlJc w:val="right"/>
      <w:pPr>
        <w:ind w:left="7560" w:hanging="180"/>
      </w:pPr>
    </w:lvl>
  </w:abstractNum>
  <w:abstractNum w:abstractNumId="12">
    <w:nsid w:val="143315F6"/>
    <w:multiLevelType w:val="hybridMultilevel"/>
    <w:tmpl w:val="217CEB7E"/>
    <w:lvl w:ilvl="0" w:tplc="CB3064EE">
      <w:start w:val="1"/>
      <w:numFmt w:val="upperRoman"/>
      <w:pStyle w:val="SmallTitle1"/>
      <w:lvlText w:val="%1."/>
      <w:lvlJc w:val="left"/>
      <w:pPr>
        <w:ind w:left="720" w:hanging="72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nsid w:val="17FB3DC4"/>
    <w:multiLevelType w:val="hybridMultilevel"/>
    <w:tmpl w:val="81C4C060"/>
    <w:lvl w:ilvl="0" w:tplc="BBFAF65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4">
    <w:nsid w:val="1DC40D62"/>
    <w:multiLevelType w:val="multilevel"/>
    <w:tmpl w:val="BEF66374"/>
    <w:lvl w:ilvl="0">
      <w:start w:val="1"/>
      <w:numFmt w:val="decimal"/>
      <w:lvlText w:val="%1)"/>
      <w:lvlJc w:val="left"/>
      <w:pPr>
        <w:tabs>
          <w:tab w:val="num" w:pos="709"/>
        </w:tabs>
        <w:ind w:left="709" w:hanging="709"/>
      </w:pPr>
      <w:rPr>
        <w:rFonts w:hint="default"/>
        <w:b w:val="0"/>
        <w:position w:val="0"/>
      </w:rPr>
    </w:lvl>
    <w:lvl w:ilvl="1">
      <w:start w:val="1"/>
      <w:numFmt w:val="lowerLetter"/>
      <w:lvlText w:val="%2)"/>
      <w:lvlJc w:val="left"/>
      <w:pPr>
        <w:tabs>
          <w:tab w:val="num" w:pos="1276"/>
        </w:tabs>
        <w:ind w:left="1276" w:hanging="567"/>
      </w:pPr>
      <w:rPr>
        <w:rFonts w:hint="default"/>
      </w:rPr>
    </w:lvl>
    <w:lvl w:ilvl="2">
      <w:start w:val="1"/>
      <w:numFmt w:val="decimal"/>
      <w:lvlRestart w:val="0"/>
      <w:lvlText w:val="%3)"/>
      <w:lvlJc w:val="left"/>
      <w:pPr>
        <w:tabs>
          <w:tab w:val="num" w:pos="709"/>
        </w:tabs>
        <w:ind w:left="709"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F96407A"/>
    <w:multiLevelType w:val="hybridMultilevel"/>
    <w:tmpl w:val="12B02FD4"/>
    <w:lvl w:ilvl="0" w:tplc="73EEFA22">
      <w:start w:val="1"/>
      <w:numFmt w:val="lowerLetter"/>
      <w:pStyle w:val="Question41"/>
      <w:lvlText w:val="%1)"/>
      <w:lvlJc w:val="left"/>
      <w:pPr>
        <w:ind w:left="1080" w:hanging="360"/>
      </w:pPr>
    </w:lvl>
    <w:lvl w:ilvl="1" w:tplc="7188D406" w:tentative="1">
      <w:start w:val="1"/>
      <w:numFmt w:val="lowerLetter"/>
      <w:lvlText w:val="%2."/>
      <w:lvlJc w:val="left"/>
      <w:pPr>
        <w:ind w:left="1800" w:hanging="360"/>
      </w:pPr>
    </w:lvl>
    <w:lvl w:ilvl="2" w:tplc="79A4ECA2" w:tentative="1">
      <w:start w:val="1"/>
      <w:numFmt w:val="lowerRoman"/>
      <w:lvlText w:val="%3."/>
      <w:lvlJc w:val="right"/>
      <w:pPr>
        <w:ind w:left="2520" w:hanging="180"/>
      </w:pPr>
    </w:lvl>
    <w:lvl w:ilvl="3" w:tplc="C0B462EA" w:tentative="1">
      <w:start w:val="1"/>
      <w:numFmt w:val="decimal"/>
      <w:lvlText w:val="%4."/>
      <w:lvlJc w:val="left"/>
      <w:pPr>
        <w:ind w:left="3240" w:hanging="360"/>
      </w:pPr>
    </w:lvl>
    <w:lvl w:ilvl="4" w:tplc="2D92BFC4" w:tentative="1">
      <w:start w:val="1"/>
      <w:numFmt w:val="lowerLetter"/>
      <w:lvlText w:val="%5."/>
      <w:lvlJc w:val="left"/>
      <w:pPr>
        <w:ind w:left="3960" w:hanging="360"/>
      </w:pPr>
    </w:lvl>
    <w:lvl w:ilvl="5" w:tplc="4F062132" w:tentative="1">
      <w:start w:val="1"/>
      <w:numFmt w:val="lowerRoman"/>
      <w:lvlText w:val="%6."/>
      <w:lvlJc w:val="right"/>
      <w:pPr>
        <w:ind w:left="4680" w:hanging="180"/>
      </w:pPr>
    </w:lvl>
    <w:lvl w:ilvl="6" w:tplc="DF123A02" w:tentative="1">
      <w:start w:val="1"/>
      <w:numFmt w:val="decimal"/>
      <w:lvlText w:val="%7."/>
      <w:lvlJc w:val="left"/>
      <w:pPr>
        <w:ind w:left="5400" w:hanging="360"/>
      </w:pPr>
    </w:lvl>
    <w:lvl w:ilvl="7" w:tplc="B8729E7A" w:tentative="1">
      <w:start w:val="1"/>
      <w:numFmt w:val="lowerLetter"/>
      <w:lvlText w:val="%8."/>
      <w:lvlJc w:val="left"/>
      <w:pPr>
        <w:ind w:left="6120" w:hanging="360"/>
      </w:pPr>
    </w:lvl>
    <w:lvl w:ilvl="8" w:tplc="209412C6" w:tentative="1">
      <w:start w:val="1"/>
      <w:numFmt w:val="lowerRoman"/>
      <w:lvlText w:val="%9."/>
      <w:lvlJc w:val="right"/>
      <w:pPr>
        <w:ind w:left="6840" w:hanging="180"/>
      </w:pPr>
    </w:lvl>
  </w:abstractNum>
  <w:abstractNum w:abstractNumId="16">
    <w:nsid w:val="312B7C86"/>
    <w:multiLevelType w:val="hybridMultilevel"/>
    <w:tmpl w:val="D91C9CBE"/>
    <w:lvl w:ilvl="0" w:tplc="3DAC5EAA">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7">
    <w:nsid w:val="4B5541B2"/>
    <w:multiLevelType w:val="hybridMultilevel"/>
    <w:tmpl w:val="08C4C960"/>
    <w:lvl w:ilvl="0" w:tplc="DF5E99D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4C1E6F18"/>
    <w:multiLevelType w:val="multilevel"/>
    <w:tmpl w:val="D1449F44"/>
    <w:lvl w:ilvl="0">
      <w:start w:val="1"/>
      <w:numFmt w:val="none"/>
      <w:pStyle w:val="HeadingBold"/>
      <w:suff w:val="nothing"/>
      <w:lvlText w:val=""/>
      <w:lvlJc w:val="left"/>
      <w:pPr>
        <w:ind w:left="0" w:firstLine="0"/>
      </w:pPr>
      <w:rPr>
        <w:rFonts w:hint="default"/>
      </w:rPr>
    </w:lvl>
    <w:lvl w:ilvl="1">
      <w:start w:val="1"/>
      <w:numFmt w:val="none"/>
      <w:lvlRestart w:val="0"/>
      <w:pStyle w:val="HeadingUnderline"/>
      <w:suff w:val="nothing"/>
      <w:lvlText w:val=""/>
      <w:lvlJc w:val="left"/>
      <w:pPr>
        <w:ind w:left="0" w:firstLine="0"/>
      </w:pPr>
      <w:rPr>
        <w:rFonts w:hint="default"/>
      </w:rPr>
    </w:lvl>
    <w:lvl w:ilvl="2">
      <w:start w:val="1"/>
      <w:numFmt w:val="decimal"/>
      <w:lvlRestart w:val="0"/>
      <w:pStyle w:val="Para-1"/>
      <w:lvlText w:val="%3)"/>
      <w:lvlJc w:val="left"/>
      <w:pPr>
        <w:tabs>
          <w:tab w:val="num" w:pos="709"/>
        </w:tabs>
        <w:ind w:left="709" w:hanging="709"/>
      </w:pPr>
      <w:rPr>
        <w:rFonts w:hint="default"/>
        <w:sz w:val="22"/>
      </w:rPr>
    </w:lvl>
    <w:lvl w:ilvl="3">
      <w:start w:val="1"/>
      <w:numFmt w:val="lowerLetter"/>
      <w:pStyle w:val="Para-a"/>
      <w:lvlText w:val="%4)"/>
      <w:lvlJc w:val="left"/>
      <w:pPr>
        <w:tabs>
          <w:tab w:val="num" w:pos="1418"/>
        </w:tabs>
        <w:ind w:left="1418" w:hanging="709"/>
      </w:pPr>
      <w:rPr>
        <w:rFonts w:ascii="Arial" w:hAnsi="Arial" w:hint="default"/>
        <w:b w:val="0"/>
        <w:i w:val="0"/>
        <w:sz w:val="22"/>
      </w:rPr>
    </w:lvl>
    <w:lvl w:ilvl="4">
      <w:start w:val="1"/>
      <w:numFmt w:val="lowerRoman"/>
      <w:pStyle w:val="Para-i"/>
      <w:lvlText w:val="%5)"/>
      <w:lvlJc w:val="left"/>
      <w:pPr>
        <w:tabs>
          <w:tab w:val="num" w:pos="2126"/>
        </w:tabs>
        <w:ind w:left="2126" w:hanging="708"/>
      </w:pPr>
      <w:rPr>
        <w:rFonts w:ascii="Arial" w:hAnsi="Arial" w:hint="default"/>
        <w:b w:val="0"/>
        <w:i w:val="0"/>
        <w:sz w:val="22"/>
      </w:rPr>
    </w:lvl>
    <w:lvl w:ilvl="5">
      <w:start w:val="1"/>
      <w:numFmt w:val="upperRoman"/>
      <w:lvlRestart w:val="0"/>
      <w:pStyle w:val="QHeadingI"/>
      <w:lvlText w:val="%6."/>
      <w:lvlJc w:val="left"/>
      <w:pPr>
        <w:tabs>
          <w:tab w:val="num" w:pos="709"/>
        </w:tabs>
        <w:ind w:left="709" w:hanging="709"/>
      </w:pPr>
      <w:rPr>
        <w:rFonts w:ascii="Arial Bold" w:hAnsi="Arial Bold" w:hint="default"/>
        <w:b/>
        <w:i w:val="0"/>
        <w:sz w:val="22"/>
      </w:rPr>
    </w:lvl>
    <w:lvl w:ilvl="6">
      <w:start w:val="1"/>
      <w:numFmt w:val="decimal"/>
      <w:lvlRestart w:val="0"/>
      <w:pStyle w:val="QPara-1"/>
      <w:lvlText w:val="%7)"/>
      <w:lvlJc w:val="left"/>
      <w:pPr>
        <w:tabs>
          <w:tab w:val="num" w:pos="709"/>
        </w:tabs>
        <w:ind w:left="709" w:hanging="709"/>
      </w:pPr>
      <w:rPr>
        <w:rFonts w:ascii="Arial" w:hAnsi="Arial" w:cs="Arial" w:hint="default"/>
        <w:sz w:val="22"/>
        <w:szCs w:val="22"/>
      </w:rPr>
    </w:lvl>
    <w:lvl w:ilvl="7">
      <w:start w:val="1"/>
      <w:numFmt w:val="lowerLetter"/>
      <w:pStyle w:val="QPara-a"/>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abstractNum w:abstractNumId="19">
    <w:nsid w:val="4CA05EB5"/>
    <w:multiLevelType w:val="hybridMultilevel"/>
    <w:tmpl w:val="08C4C960"/>
    <w:lvl w:ilvl="0" w:tplc="F552D9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4CD00462"/>
    <w:multiLevelType w:val="hybridMultilevel"/>
    <w:tmpl w:val="97041A4A"/>
    <w:lvl w:ilvl="0" w:tplc="F552D9C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4E7A5CD9"/>
    <w:multiLevelType w:val="hybridMultilevel"/>
    <w:tmpl w:val="006A278E"/>
    <w:lvl w:ilvl="0" w:tplc="BBFAF65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nsid w:val="59542C20"/>
    <w:multiLevelType w:val="hybridMultilevel"/>
    <w:tmpl w:val="B30E8C6A"/>
    <w:lvl w:ilvl="0" w:tplc="A14ED9BE">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DD86305"/>
    <w:multiLevelType w:val="multilevel"/>
    <w:tmpl w:val="F09E9B06"/>
    <w:lvl w:ilvl="0">
      <w:start w:val="1"/>
      <w:numFmt w:val="decimal"/>
      <w:pStyle w:val="para1"/>
      <w:lvlText w:val="%1)"/>
      <w:lvlJc w:val="left"/>
      <w:pPr>
        <w:tabs>
          <w:tab w:val="num" w:pos="709"/>
        </w:tabs>
        <w:ind w:left="709" w:hanging="709"/>
      </w:pPr>
      <w:rPr>
        <w:rFonts w:hint="default"/>
        <w:b w:val="0"/>
        <w:position w:val="0"/>
      </w:rPr>
    </w:lvl>
    <w:lvl w:ilvl="1">
      <w:start w:val="1"/>
      <w:numFmt w:val="lowerLetter"/>
      <w:pStyle w:val="Qestion21"/>
      <w:lvlText w:val="%2)"/>
      <w:lvlJc w:val="left"/>
      <w:pPr>
        <w:tabs>
          <w:tab w:val="num" w:pos="1276"/>
        </w:tabs>
        <w:ind w:left="1276" w:hanging="567"/>
      </w:pPr>
      <w:rPr>
        <w:rFonts w:hint="default"/>
      </w:rPr>
    </w:lvl>
    <w:lvl w:ilvl="2">
      <w:start w:val="1"/>
      <w:numFmt w:val="decimal"/>
      <w:lvlRestart w:val="0"/>
      <w:pStyle w:val="Question1"/>
      <w:lvlText w:val="%3)"/>
      <w:lvlJc w:val="left"/>
      <w:pPr>
        <w:tabs>
          <w:tab w:val="num" w:pos="709"/>
        </w:tabs>
        <w:ind w:left="709" w:hanging="709"/>
      </w:pPr>
      <w:rPr>
        <w:rFonts w:hint="default"/>
      </w:rPr>
    </w:lvl>
    <w:lvl w:ilvl="3">
      <w:start w:val="1"/>
      <w:numFmt w:val="lowerLetter"/>
      <w:pStyle w:val="Question31"/>
      <w:lvlText w:val="%4)"/>
      <w:lvlJc w:val="left"/>
      <w:pPr>
        <w:tabs>
          <w:tab w:val="num" w:pos="1276"/>
        </w:tabs>
        <w:ind w:left="1276"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E1A674B"/>
    <w:multiLevelType w:val="hybridMultilevel"/>
    <w:tmpl w:val="006A278E"/>
    <w:lvl w:ilvl="0" w:tplc="4A52BB2A">
      <w:start w:val="1"/>
      <w:numFmt w:val="lowerLetter"/>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5">
    <w:nsid w:val="5E3B5251"/>
    <w:multiLevelType w:val="multilevel"/>
    <w:tmpl w:val="18FA72AC"/>
    <w:lvl w:ilvl="0">
      <w:start w:val="1"/>
      <w:numFmt w:val="none"/>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lvlRestart w:val="0"/>
      <w:lvlText w:val="%3)"/>
      <w:lvlJc w:val="left"/>
      <w:pPr>
        <w:tabs>
          <w:tab w:val="num" w:pos="709"/>
        </w:tabs>
        <w:ind w:left="709" w:hanging="709"/>
      </w:pPr>
      <w:rPr>
        <w:rFonts w:hint="default"/>
        <w:sz w:val="22"/>
      </w:rPr>
    </w:lvl>
    <w:lvl w:ilvl="3">
      <w:start w:val="1"/>
      <w:numFmt w:val="lowerLetter"/>
      <w:lvlText w:val="%4)"/>
      <w:lvlJc w:val="left"/>
      <w:pPr>
        <w:tabs>
          <w:tab w:val="num" w:pos="1418"/>
        </w:tabs>
        <w:ind w:left="1418" w:hanging="709"/>
      </w:pPr>
      <w:rPr>
        <w:rFonts w:ascii="Arial" w:hAnsi="Arial" w:hint="default"/>
        <w:b w:val="0"/>
        <w:i w:val="0"/>
        <w:sz w:val="22"/>
      </w:rPr>
    </w:lvl>
    <w:lvl w:ilvl="4">
      <w:start w:val="1"/>
      <w:numFmt w:val="lowerRoman"/>
      <w:lvlText w:val="%5)"/>
      <w:lvlJc w:val="left"/>
      <w:pPr>
        <w:tabs>
          <w:tab w:val="num" w:pos="2126"/>
        </w:tabs>
        <w:ind w:left="2126" w:hanging="708"/>
      </w:pPr>
      <w:rPr>
        <w:rFonts w:ascii="Arial" w:hAnsi="Arial" w:hint="default"/>
        <w:b w:val="0"/>
        <w:i w:val="0"/>
        <w:sz w:val="22"/>
      </w:rPr>
    </w:lvl>
    <w:lvl w:ilvl="5">
      <w:start w:val="1"/>
      <w:numFmt w:val="upperRoman"/>
      <w:lvlRestart w:val="0"/>
      <w:lvlText w:val="%6."/>
      <w:lvlJc w:val="left"/>
      <w:pPr>
        <w:tabs>
          <w:tab w:val="num" w:pos="709"/>
        </w:tabs>
        <w:ind w:left="709" w:hanging="709"/>
      </w:pPr>
      <w:rPr>
        <w:rFonts w:ascii="Arial Bold" w:hAnsi="Arial Bold" w:hint="default"/>
        <w:b/>
        <w:i w:val="0"/>
        <w:sz w:val="22"/>
      </w:rPr>
    </w:lvl>
    <w:lvl w:ilvl="6">
      <w:start w:val="1"/>
      <w:numFmt w:val="decimal"/>
      <w:lvlRestart w:val="0"/>
      <w:lvlText w:val="%7)"/>
      <w:lvlJc w:val="left"/>
      <w:pPr>
        <w:tabs>
          <w:tab w:val="num" w:pos="709"/>
        </w:tabs>
        <w:ind w:left="709" w:hanging="709"/>
      </w:pPr>
      <w:rPr>
        <w:rFonts w:ascii="Arial" w:hAnsi="Arial" w:cs="Arial" w:hint="default"/>
        <w:sz w:val="22"/>
        <w:szCs w:val="22"/>
      </w:rPr>
    </w:lvl>
    <w:lvl w:ilvl="7">
      <w:start w:val="1"/>
      <w:numFmt w:val="lowerLetter"/>
      <w:lvlText w:val="%8)"/>
      <w:lvlJc w:val="left"/>
      <w:pPr>
        <w:tabs>
          <w:tab w:val="num" w:pos="1418"/>
        </w:tabs>
        <w:ind w:left="1418" w:hanging="709"/>
      </w:pPr>
      <w:rPr>
        <w:rFonts w:hint="default"/>
      </w:rPr>
    </w:lvl>
    <w:lvl w:ilvl="8">
      <w:start w:val="1"/>
      <w:numFmt w:val="lowerRoman"/>
      <w:lvlText w:val="%9."/>
      <w:lvlJc w:val="right"/>
      <w:pPr>
        <w:ind w:left="6480" w:hanging="180"/>
      </w:pPr>
      <w:rPr>
        <w:rFonts w:hint="default"/>
      </w:rPr>
    </w:lvl>
  </w:abstractNum>
  <w:abstractNum w:abstractNumId="26">
    <w:nsid w:val="640D0B7D"/>
    <w:multiLevelType w:val="hybridMultilevel"/>
    <w:tmpl w:val="51161D4A"/>
    <w:lvl w:ilvl="0" w:tplc="A14ED9BE">
      <w:start w:val="1"/>
      <w:numFmt w:val="lowerLetter"/>
      <w:pStyle w:val="Question1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14"/>
  </w:num>
  <w:num w:numId="3">
    <w:abstractNumId w:val="26"/>
  </w:num>
  <w:num w:numId="4">
    <w:abstractNumId w:val="11"/>
  </w:num>
  <w:num w:numId="5">
    <w:abstractNumId w:val="22"/>
  </w:num>
  <w:num w:numId="6">
    <w:abstractNumId w:val="15"/>
  </w:num>
  <w:num w:numId="7">
    <w:abstractNumId w:val="12"/>
  </w:num>
  <w:num w:numId="8">
    <w:abstractNumId w:val="14"/>
    <w:lvlOverride w:ilvl="0">
      <w:startOverride w:val="1"/>
    </w:lvlOverride>
  </w:num>
  <w:num w:numId="9">
    <w:abstractNumId w:val="14"/>
    <w:lvlOverride w:ilvl="0">
      <w:startOverride w:val="1"/>
    </w:lvlOverride>
  </w:num>
  <w:num w:numId="10">
    <w:abstractNumId w:val="14"/>
    <w:lvlOverride w:ilvl="0">
      <w:startOverride w:val="1"/>
    </w:lvlOverride>
  </w:num>
  <w:num w:numId="11">
    <w:abstractNumId w:val="20"/>
  </w:num>
  <w:num w:numId="12">
    <w:abstractNumId w:val="14"/>
  </w:num>
  <w:num w:numId="13">
    <w:abstractNumId w:val="14"/>
  </w:num>
  <w:num w:numId="14">
    <w:abstractNumId w:val="14"/>
  </w:num>
  <w:num w:numId="15">
    <w:abstractNumId w:val="14"/>
  </w:num>
  <w:num w:numId="16">
    <w:abstractNumId w:val="14"/>
  </w:num>
  <w:num w:numId="17">
    <w:abstractNumId w:val="21"/>
  </w:num>
  <w:num w:numId="18">
    <w:abstractNumId w:val="17"/>
  </w:num>
  <w:num w:numId="19">
    <w:abstractNumId w:val="14"/>
  </w:num>
  <w:num w:numId="20">
    <w:abstractNumId w:val="14"/>
  </w:num>
  <w:num w:numId="21">
    <w:abstractNumId w:val="14"/>
  </w:num>
  <w:num w:numId="22">
    <w:abstractNumId w:val="14"/>
  </w:num>
  <w:num w:numId="23">
    <w:abstractNumId w:val="14"/>
  </w:num>
  <w:num w:numId="24">
    <w:abstractNumId w:val="16"/>
  </w:num>
  <w:num w:numId="25">
    <w:abstractNumId w:val="14"/>
  </w:num>
  <w:num w:numId="26">
    <w:abstractNumId w:val="14"/>
  </w:num>
  <w:num w:numId="27">
    <w:abstractNumId w:val="13"/>
  </w:num>
  <w:num w:numId="28">
    <w:abstractNumId w:val="24"/>
  </w:num>
  <w:num w:numId="29">
    <w:abstractNumId w:val="19"/>
  </w:num>
  <w:num w:numId="30">
    <w:abstractNumId w:val="14"/>
    <w:lvlOverride w:ilvl="0">
      <w:startOverride w:val="1"/>
    </w:lvlOverride>
  </w:num>
  <w:num w:numId="31">
    <w:abstractNumId w:val="14"/>
    <w:lvlOverride w:ilvl="0">
      <w:startOverride w:val="1"/>
    </w:lvlOverride>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4"/>
    <w:lvlOverride w:ilvl="0">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1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806"/>
    <w:rsid w:val="0001150E"/>
    <w:rsid w:val="00013637"/>
    <w:rsid w:val="000173E6"/>
    <w:rsid w:val="00020B36"/>
    <w:rsid w:val="000222A7"/>
    <w:rsid w:val="000226B4"/>
    <w:rsid w:val="00022FD3"/>
    <w:rsid w:val="00024163"/>
    <w:rsid w:val="00024B35"/>
    <w:rsid w:val="00025B5F"/>
    <w:rsid w:val="000300E8"/>
    <w:rsid w:val="000335C7"/>
    <w:rsid w:val="00041476"/>
    <w:rsid w:val="0004582F"/>
    <w:rsid w:val="00047712"/>
    <w:rsid w:val="00051141"/>
    <w:rsid w:val="00051F0B"/>
    <w:rsid w:val="000575B8"/>
    <w:rsid w:val="00060F9E"/>
    <w:rsid w:val="000615CB"/>
    <w:rsid w:val="00062230"/>
    <w:rsid w:val="0006690E"/>
    <w:rsid w:val="00072925"/>
    <w:rsid w:val="00072CF8"/>
    <w:rsid w:val="000752A1"/>
    <w:rsid w:val="000755E9"/>
    <w:rsid w:val="00076458"/>
    <w:rsid w:val="0007702F"/>
    <w:rsid w:val="00083CBD"/>
    <w:rsid w:val="00087F7B"/>
    <w:rsid w:val="00094267"/>
    <w:rsid w:val="00095449"/>
    <w:rsid w:val="000A4741"/>
    <w:rsid w:val="000B10D3"/>
    <w:rsid w:val="000B10E0"/>
    <w:rsid w:val="000B12DB"/>
    <w:rsid w:val="000B284A"/>
    <w:rsid w:val="000B2F45"/>
    <w:rsid w:val="000C0C51"/>
    <w:rsid w:val="000C0D90"/>
    <w:rsid w:val="000C14BC"/>
    <w:rsid w:val="000C1998"/>
    <w:rsid w:val="000C2359"/>
    <w:rsid w:val="000C30C2"/>
    <w:rsid w:val="000D2462"/>
    <w:rsid w:val="000D4A89"/>
    <w:rsid w:val="000E1B65"/>
    <w:rsid w:val="000E1CEF"/>
    <w:rsid w:val="000E36F0"/>
    <w:rsid w:val="000F01F7"/>
    <w:rsid w:val="00102571"/>
    <w:rsid w:val="00110701"/>
    <w:rsid w:val="00112A90"/>
    <w:rsid w:val="00115DFC"/>
    <w:rsid w:val="0011670F"/>
    <w:rsid w:val="001168CD"/>
    <w:rsid w:val="00123199"/>
    <w:rsid w:val="00124C29"/>
    <w:rsid w:val="001327A9"/>
    <w:rsid w:val="00147CF4"/>
    <w:rsid w:val="001506DB"/>
    <w:rsid w:val="00152E87"/>
    <w:rsid w:val="001645C7"/>
    <w:rsid w:val="00164FF6"/>
    <w:rsid w:val="00172A75"/>
    <w:rsid w:val="00173EFC"/>
    <w:rsid w:val="0017577E"/>
    <w:rsid w:val="001762E7"/>
    <w:rsid w:val="00180610"/>
    <w:rsid w:val="00185EEB"/>
    <w:rsid w:val="001871A9"/>
    <w:rsid w:val="001872DE"/>
    <w:rsid w:val="00193911"/>
    <w:rsid w:val="00194386"/>
    <w:rsid w:val="001953BA"/>
    <w:rsid w:val="001A0C79"/>
    <w:rsid w:val="001A1B16"/>
    <w:rsid w:val="001A1B5E"/>
    <w:rsid w:val="001A2274"/>
    <w:rsid w:val="001A3A88"/>
    <w:rsid w:val="001A43BE"/>
    <w:rsid w:val="001A5C30"/>
    <w:rsid w:val="001B2152"/>
    <w:rsid w:val="001B37F0"/>
    <w:rsid w:val="001B508A"/>
    <w:rsid w:val="001C09E2"/>
    <w:rsid w:val="001C4968"/>
    <w:rsid w:val="001C60F3"/>
    <w:rsid w:val="001C666C"/>
    <w:rsid w:val="001C6C00"/>
    <w:rsid w:val="001C7DB1"/>
    <w:rsid w:val="001D262C"/>
    <w:rsid w:val="001D39D5"/>
    <w:rsid w:val="001E432D"/>
    <w:rsid w:val="001F2B05"/>
    <w:rsid w:val="001F7E71"/>
    <w:rsid w:val="00210DAB"/>
    <w:rsid w:val="00215D0B"/>
    <w:rsid w:val="00220364"/>
    <w:rsid w:val="00224435"/>
    <w:rsid w:val="00225B25"/>
    <w:rsid w:val="0023047A"/>
    <w:rsid w:val="0023052B"/>
    <w:rsid w:val="002306A1"/>
    <w:rsid w:val="00231F6E"/>
    <w:rsid w:val="00232690"/>
    <w:rsid w:val="00236ADC"/>
    <w:rsid w:val="0023732F"/>
    <w:rsid w:val="002438C7"/>
    <w:rsid w:val="00243C1F"/>
    <w:rsid w:val="0024404F"/>
    <w:rsid w:val="00244A88"/>
    <w:rsid w:val="00251C7D"/>
    <w:rsid w:val="0025268B"/>
    <w:rsid w:val="00257651"/>
    <w:rsid w:val="00261BE5"/>
    <w:rsid w:val="00266780"/>
    <w:rsid w:val="002719E5"/>
    <w:rsid w:val="00271FE9"/>
    <w:rsid w:val="00275877"/>
    <w:rsid w:val="00275E00"/>
    <w:rsid w:val="002772DC"/>
    <w:rsid w:val="00285E82"/>
    <w:rsid w:val="00290A16"/>
    <w:rsid w:val="0029112C"/>
    <w:rsid w:val="002929BB"/>
    <w:rsid w:val="00295CD3"/>
    <w:rsid w:val="002963A5"/>
    <w:rsid w:val="0029763D"/>
    <w:rsid w:val="002A3F3F"/>
    <w:rsid w:val="002A435A"/>
    <w:rsid w:val="002A49B7"/>
    <w:rsid w:val="002A4B95"/>
    <w:rsid w:val="002B228D"/>
    <w:rsid w:val="002B57EF"/>
    <w:rsid w:val="002B600B"/>
    <w:rsid w:val="002B79DA"/>
    <w:rsid w:val="002C6B8B"/>
    <w:rsid w:val="002C7E9A"/>
    <w:rsid w:val="002D2343"/>
    <w:rsid w:val="002D3574"/>
    <w:rsid w:val="002D66FC"/>
    <w:rsid w:val="002E2213"/>
    <w:rsid w:val="002F1655"/>
    <w:rsid w:val="002F1D65"/>
    <w:rsid w:val="002F619B"/>
    <w:rsid w:val="00310567"/>
    <w:rsid w:val="00311263"/>
    <w:rsid w:val="003122E1"/>
    <w:rsid w:val="0031250F"/>
    <w:rsid w:val="0032019F"/>
    <w:rsid w:val="00321E91"/>
    <w:rsid w:val="00322667"/>
    <w:rsid w:val="0032483C"/>
    <w:rsid w:val="00332E2A"/>
    <w:rsid w:val="00333E13"/>
    <w:rsid w:val="00334226"/>
    <w:rsid w:val="00334FA5"/>
    <w:rsid w:val="003352AF"/>
    <w:rsid w:val="00336240"/>
    <w:rsid w:val="003444BF"/>
    <w:rsid w:val="003447A4"/>
    <w:rsid w:val="003528CD"/>
    <w:rsid w:val="00356B82"/>
    <w:rsid w:val="00360829"/>
    <w:rsid w:val="00360A76"/>
    <w:rsid w:val="00362652"/>
    <w:rsid w:val="00363137"/>
    <w:rsid w:val="0036787A"/>
    <w:rsid w:val="003744C9"/>
    <w:rsid w:val="00374F87"/>
    <w:rsid w:val="0038010C"/>
    <w:rsid w:val="00386DFB"/>
    <w:rsid w:val="00393843"/>
    <w:rsid w:val="00394463"/>
    <w:rsid w:val="003A123F"/>
    <w:rsid w:val="003A4F1E"/>
    <w:rsid w:val="003B48CF"/>
    <w:rsid w:val="003B63A4"/>
    <w:rsid w:val="003E0FAF"/>
    <w:rsid w:val="003E35D9"/>
    <w:rsid w:val="003F2EA4"/>
    <w:rsid w:val="003F77FF"/>
    <w:rsid w:val="00404005"/>
    <w:rsid w:val="00417D5A"/>
    <w:rsid w:val="0042419E"/>
    <w:rsid w:val="00431410"/>
    <w:rsid w:val="00433DE6"/>
    <w:rsid w:val="004350DF"/>
    <w:rsid w:val="004416C1"/>
    <w:rsid w:val="004464A2"/>
    <w:rsid w:val="004506A1"/>
    <w:rsid w:val="0045202A"/>
    <w:rsid w:val="00453184"/>
    <w:rsid w:val="00457AEF"/>
    <w:rsid w:val="004600CE"/>
    <w:rsid w:val="00460E1B"/>
    <w:rsid w:val="004657EE"/>
    <w:rsid w:val="0047363E"/>
    <w:rsid w:val="00477EC4"/>
    <w:rsid w:val="00486AE2"/>
    <w:rsid w:val="0049321D"/>
    <w:rsid w:val="00495B9B"/>
    <w:rsid w:val="00495CB5"/>
    <w:rsid w:val="004A1CCD"/>
    <w:rsid w:val="004A256B"/>
    <w:rsid w:val="004A3B32"/>
    <w:rsid w:val="004A5FBB"/>
    <w:rsid w:val="004B3D54"/>
    <w:rsid w:val="004C4EDF"/>
    <w:rsid w:val="004D13AD"/>
    <w:rsid w:val="004D4D3E"/>
    <w:rsid w:val="004D65F0"/>
    <w:rsid w:val="004E1EE7"/>
    <w:rsid w:val="004E2272"/>
    <w:rsid w:val="004E7EC1"/>
    <w:rsid w:val="0050359D"/>
    <w:rsid w:val="0050462E"/>
    <w:rsid w:val="00506481"/>
    <w:rsid w:val="00506BB7"/>
    <w:rsid w:val="0051455E"/>
    <w:rsid w:val="005167BB"/>
    <w:rsid w:val="00521324"/>
    <w:rsid w:val="00521E81"/>
    <w:rsid w:val="005225BE"/>
    <w:rsid w:val="005262AD"/>
    <w:rsid w:val="00526F5C"/>
    <w:rsid w:val="00527C21"/>
    <w:rsid w:val="005302C0"/>
    <w:rsid w:val="005326E7"/>
    <w:rsid w:val="00534FEB"/>
    <w:rsid w:val="005365C3"/>
    <w:rsid w:val="00536DC5"/>
    <w:rsid w:val="00537953"/>
    <w:rsid w:val="00542AE1"/>
    <w:rsid w:val="0056068E"/>
    <w:rsid w:val="005649BF"/>
    <w:rsid w:val="00565DD8"/>
    <w:rsid w:val="005703C9"/>
    <w:rsid w:val="00575BF6"/>
    <w:rsid w:val="005819E6"/>
    <w:rsid w:val="0058260D"/>
    <w:rsid w:val="0058305C"/>
    <w:rsid w:val="00594C8C"/>
    <w:rsid w:val="0059505F"/>
    <w:rsid w:val="00595B7B"/>
    <w:rsid w:val="005A0052"/>
    <w:rsid w:val="005A072F"/>
    <w:rsid w:val="005A72A4"/>
    <w:rsid w:val="005B0053"/>
    <w:rsid w:val="005B1838"/>
    <w:rsid w:val="005B4C2C"/>
    <w:rsid w:val="005B4F66"/>
    <w:rsid w:val="005C328D"/>
    <w:rsid w:val="005C6EF6"/>
    <w:rsid w:val="005D04B6"/>
    <w:rsid w:val="005D2548"/>
    <w:rsid w:val="005D3FFA"/>
    <w:rsid w:val="005D599B"/>
    <w:rsid w:val="005D5D94"/>
    <w:rsid w:val="005D7683"/>
    <w:rsid w:val="005E1793"/>
    <w:rsid w:val="005E4348"/>
    <w:rsid w:val="005E46D5"/>
    <w:rsid w:val="005F127C"/>
    <w:rsid w:val="005F1882"/>
    <w:rsid w:val="005F2E4E"/>
    <w:rsid w:val="005F5AEF"/>
    <w:rsid w:val="005F718F"/>
    <w:rsid w:val="005F71B9"/>
    <w:rsid w:val="00604255"/>
    <w:rsid w:val="00604B48"/>
    <w:rsid w:val="00607797"/>
    <w:rsid w:val="00617880"/>
    <w:rsid w:val="00621D62"/>
    <w:rsid w:val="00622997"/>
    <w:rsid w:val="00623D81"/>
    <w:rsid w:val="00625B35"/>
    <w:rsid w:val="00626860"/>
    <w:rsid w:val="00627B36"/>
    <w:rsid w:val="006304CC"/>
    <w:rsid w:val="00631759"/>
    <w:rsid w:val="00632FC2"/>
    <w:rsid w:val="0063371C"/>
    <w:rsid w:val="00634B89"/>
    <w:rsid w:val="00641D69"/>
    <w:rsid w:val="00645D0A"/>
    <w:rsid w:val="00646603"/>
    <w:rsid w:val="00647A99"/>
    <w:rsid w:val="00650402"/>
    <w:rsid w:val="00656052"/>
    <w:rsid w:val="00664315"/>
    <w:rsid w:val="00666849"/>
    <w:rsid w:val="006673DE"/>
    <w:rsid w:val="006676BD"/>
    <w:rsid w:val="00670F6D"/>
    <w:rsid w:val="006801C9"/>
    <w:rsid w:val="00683C06"/>
    <w:rsid w:val="00687D38"/>
    <w:rsid w:val="006937F8"/>
    <w:rsid w:val="00694005"/>
    <w:rsid w:val="00696857"/>
    <w:rsid w:val="00696E98"/>
    <w:rsid w:val="006A03D8"/>
    <w:rsid w:val="006A1D97"/>
    <w:rsid w:val="006A291F"/>
    <w:rsid w:val="006A57C0"/>
    <w:rsid w:val="006A5BFC"/>
    <w:rsid w:val="006A6236"/>
    <w:rsid w:val="006A64DA"/>
    <w:rsid w:val="006A69ED"/>
    <w:rsid w:val="006A6D7B"/>
    <w:rsid w:val="006B47E4"/>
    <w:rsid w:val="006B6665"/>
    <w:rsid w:val="006B7D8A"/>
    <w:rsid w:val="006C0666"/>
    <w:rsid w:val="006C3395"/>
    <w:rsid w:val="006C5E90"/>
    <w:rsid w:val="006C5EF5"/>
    <w:rsid w:val="006C6E8E"/>
    <w:rsid w:val="006D4BFE"/>
    <w:rsid w:val="006D5DBE"/>
    <w:rsid w:val="006F0553"/>
    <w:rsid w:val="006F14D6"/>
    <w:rsid w:val="006F1570"/>
    <w:rsid w:val="006F44A6"/>
    <w:rsid w:val="006F686C"/>
    <w:rsid w:val="006F78C4"/>
    <w:rsid w:val="00700A1C"/>
    <w:rsid w:val="00701C38"/>
    <w:rsid w:val="00705D54"/>
    <w:rsid w:val="007117A6"/>
    <w:rsid w:val="007119BA"/>
    <w:rsid w:val="00712649"/>
    <w:rsid w:val="00714176"/>
    <w:rsid w:val="00714193"/>
    <w:rsid w:val="00723043"/>
    <w:rsid w:val="00724DEF"/>
    <w:rsid w:val="00726679"/>
    <w:rsid w:val="00727201"/>
    <w:rsid w:val="00727AC3"/>
    <w:rsid w:val="0073297B"/>
    <w:rsid w:val="00735C0E"/>
    <w:rsid w:val="00735C4C"/>
    <w:rsid w:val="00740946"/>
    <w:rsid w:val="007415F2"/>
    <w:rsid w:val="00742718"/>
    <w:rsid w:val="007436FB"/>
    <w:rsid w:val="0074601C"/>
    <w:rsid w:val="00746037"/>
    <w:rsid w:val="007465A1"/>
    <w:rsid w:val="007514C4"/>
    <w:rsid w:val="00753BCA"/>
    <w:rsid w:val="00764D79"/>
    <w:rsid w:val="00767A3E"/>
    <w:rsid w:val="00771DC3"/>
    <w:rsid w:val="0077210B"/>
    <w:rsid w:val="00774058"/>
    <w:rsid w:val="007766A1"/>
    <w:rsid w:val="007774E2"/>
    <w:rsid w:val="007820FB"/>
    <w:rsid w:val="007856BC"/>
    <w:rsid w:val="00787B04"/>
    <w:rsid w:val="007933B2"/>
    <w:rsid w:val="00793C3B"/>
    <w:rsid w:val="00794D5A"/>
    <w:rsid w:val="00795262"/>
    <w:rsid w:val="00796C0D"/>
    <w:rsid w:val="00797F37"/>
    <w:rsid w:val="007A158F"/>
    <w:rsid w:val="007A1AC7"/>
    <w:rsid w:val="007A603F"/>
    <w:rsid w:val="007B090A"/>
    <w:rsid w:val="007B4BB0"/>
    <w:rsid w:val="007B5972"/>
    <w:rsid w:val="007B6105"/>
    <w:rsid w:val="007B71A1"/>
    <w:rsid w:val="007C019C"/>
    <w:rsid w:val="007C39F9"/>
    <w:rsid w:val="007C3CAB"/>
    <w:rsid w:val="007C4268"/>
    <w:rsid w:val="007C5EA6"/>
    <w:rsid w:val="007C7466"/>
    <w:rsid w:val="007D0455"/>
    <w:rsid w:val="007D0B4D"/>
    <w:rsid w:val="007D37A7"/>
    <w:rsid w:val="007D516F"/>
    <w:rsid w:val="007D6158"/>
    <w:rsid w:val="007E0E57"/>
    <w:rsid w:val="007E29B3"/>
    <w:rsid w:val="007E2C16"/>
    <w:rsid w:val="007E5CEC"/>
    <w:rsid w:val="007E7942"/>
    <w:rsid w:val="007E7FB0"/>
    <w:rsid w:val="007F2442"/>
    <w:rsid w:val="007F26CF"/>
    <w:rsid w:val="00802A0B"/>
    <w:rsid w:val="00803762"/>
    <w:rsid w:val="00804DFD"/>
    <w:rsid w:val="008051FE"/>
    <w:rsid w:val="00805204"/>
    <w:rsid w:val="00812E18"/>
    <w:rsid w:val="0081799C"/>
    <w:rsid w:val="0082316B"/>
    <w:rsid w:val="00826143"/>
    <w:rsid w:val="008343AF"/>
    <w:rsid w:val="00837052"/>
    <w:rsid w:val="00837634"/>
    <w:rsid w:val="00841B14"/>
    <w:rsid w:val="00842300"/>
    <w:rsid w:val="00842C8B"/>
    <w:rsid w:val="00844C4A"/>
    <w:rsid w:val="00853084"/>
    <w:rsid w:val="00855122"/>
    <w:rsid w:val="00855E94"/>
    <w:rsid w:val="008733F1"/>
    <w:rsid w:val="00877FC7"/>
    <w:rsid w:val="008913A3"/>
    <w:rsid w:val="00894653"/>
    <w:rsid w:val="00895B41"/>
    <w:rsid w:val="00897B84"/>
    <w:rsid w:val="008A2264"/>
    <w:rsid w:val="008A3F37"/>
    <w:rsid w:val="008A6006"/>
    <w:rsid w:val="008A69F3"/>
    <w:rsid w:val="008B24E4"/>
    <w:rsid w:val="008B3F9C"/>
    <w:rsid w:val="008B4406"/>
    <w:rsid w:val="008B7DE7"/>
    <w:rsid w:val="008C4F54"/>
    <w:rsid w:val="008D1064"/>
    <w:rsid w:val="008D3BCB"/>
    <w:rsid w:val="008D4DD0"/>
    <w:rsid w:val="008E109E"/>
    <w:rsid w:val="008E695F"/>
    <w:rsid w:val="008E7D16"/>
    <w:rsid w:val="008F03D7"/>
    <w:rsid w:val="008F18E4"/>
    <w:rsid w:val="008F2C70"/>
    <w:rsid w:val="008F46D9"/>
    <w:rsid w:val="008F523D"/>
    <w:rsid w:val="008F5716"/>
    <w:rsid w:val="008F633D"/>
    <w:rsid w:val="00901FD3"/>
    <w:rsid w:val="00902920"/>
    <w:rsid w:val="0090526F"/>
    <w:rsid w:val="00905F75"/>
    <w:rsid w:val="00920A9E"/>
    <w:rsid w:val="00924FE1"/>
    <w:rsid w:val="0092603F"/>
    <w:rsid w:val="009306E5"/>
    <w:rsid w:val="0093755B"/>
    <w:rsid w:val="00942872"/>
    <w:rsid w:val="009457B8"/>
    <w:rsid w:val="00945C8D"/>
    <w:rsid w:val="00952816"/>
    <w:rsid w:val="00953C8B"/>
    <w:rsid w:val="0095437F"/>
    <w:rsid w:val="0095728E"/>
    <w:rsid w:val="0097319B"/>
    <w:rsid w:val="009751DC"/>
    <w:rsid w:val="009759C8"/>
    <w:rsid w:val="00981F4A"/>
    <w:rsid w:val="00982EF7"/>
    <w:rsid w:val="0099385D"/>
    <w:rsid w:val="00996AD1"/>
    <w:rsid w:val="009A18A8"/>
    <w:rsid w:val="009A73E0"/>
    <w:rsid w:val="009A78F6"/>
    <w:rsid w:val="009C2B51"/>
    <w:rsid w:val="009C6FAC"/>
    <w:rsid w:val="009D0669"/>
    <w:rsid w:val="009D7030"/>
    <w:rsid w:val="009D7857"/>
    <w:rsid w:val="009E2C41"/>
    <w:rsid w:val="009F20EB"/>
    <w:rsid w:val="009F3C72"/>
    <w:rsid w:val="009F58A5"/>
    <w:rsid w:val="009F6828"/>
    <w:rsid w:val="009F7292"/>
    <w:rsid w:val="009F72CE"/>
    <w:rsid w:val="00A01806"/>
    <w:rsid w:val="00A04824"/>
    <w:rsid w:val="00A04B62"/>
    <w:rsid w:val="00A155D7"/>
    <w:rsid w:val="00A25665"/>
    <w:rsid w:val="00A264B8"/>
    <w:rsid w:val="00A33BB2"/>
    <w:rsid w:val="00A36B41"/>
    <w:rsid w:val="00A42E13"/>
    <w:rsid w:val="00A447A4"/>
    <w:rsid w:val="00A4581E"/>
    <w:rsid w:val="00A514A9"/>
    <w:rsid w:val="00A554B8"/>
    <w:rsid w:val="00A55856"/>
    <w:rsid w:val="00A5677A"/>
    <w:rsid w:val="00A67EDE"/>
    <w:rsid w:val="00A701E8"/>
    <w:rsid w:val="00A709EF"/>
    <w:rsid w:val="00A742A6"/>
    <w:rsid w:val="00A80212"/>
    <w:rsid w:val="00A8344F"/>
    <w:rsid w:val="00A8568D"/>
    <w:rsid w:val="00A97A05"/>
    <w:rsid w:val="00AA1E9C"/>
    <w:rsid w:val="00AA64B9"/>
    <w:rsid w:val="00AB47D9"/>
    <w:rsid w:val="00AB48E0"/>
    <w:rsid w:val="00AB77FF"/>
    <w:rsid w:val="00AC5B68"/>
    <w:rsid w:val="00AC6537"/>
    <w:rsid w:val="00AD1BF6"/>
    <w:rsid w:val="00AD3A6D"/>
    <w:rsid w:val="00AD6A0D"/>
    <w:rsid w:val="00AE1B28"/>
    <w:rsid w:val="00B00BD3"/>
    <w:rsid w:val="00B016A8"/>
    <w:rsid w:val="00B0337E"/>
    <w:rsid w:val="00B04FC7"/>
    <w:rsid w:val="00B06E73"/>
    <w:rsid w:val="00B110AA"/>
    <w:rsid w:val="00B151E9"/>
    <w:rsid w:val="00B16346"/>
    <w:rsid w:val="00B164BF"/>
    <w:rsid w:val="00B2088A"/>
    <w:rsid w:val="00B234FE"/>
    <w:rsid w:val="00B2646E"/>
    <w:rsid w:val="00B313C7"/>
    <w:rsid w:val="00B33346"/>
    <w:rsid w:val="00B3491E"/>
    <w:rsid w:val="00B3590F"/>
    <w:rsid w:val="00B363E7"/>
    <w:rsid w:val="00B36809"/>
    <w:rsid w:val="00B41C38"/>
    <w:rsid w:val="00B4205B"/>
    <w:rsid w:val="00B43C60"/>
    <w:rsid w:val="00B47031"/>
    <w:rsid w:val="00B52AB7"/>
    <w:rsid w:val="00B53A58"/>
    <w:rsid w:val="00B54EEF"/>
    <w:rsid w:val="00B55974"/>
    <w:rsid w:val="00B62018"/>
    <w:rsid w:val="00B72427"/>
    <w:rsid w:val="00B76921"/>
    <w:rsid w:val="00B76A0E"/>
    <w:rsid w:val="00B77E74"/>
    <w:rsid w:val="00B80B38"/>
    <w:rsid w:val="00B83157"/>
    <w:rsid w:val="00B92748"/>
    <w:rsid w:val="00B9582A"/>
    <w:rsid w:val="00BA4975"/>
    <w:rsid w:val="00BA77D6"/>
    <w:rsid w:val="00BB05BC"/>
    <w:rsid w:val="00BB1F58"/>
    <w:rsid w:val="00BB22C6"/>
    <w:rsid w:val="00BB43B9"/>
    <w:rsid w:val="00BB7610"/>
    <w:rsid w:val="00BC3662"/>
    <w:rsid w:val="00BC38FE"/>
    <w:rsid w:val="00BC4D7B"/>
    <w:rsid w:val="00BC536F"/>
    <w:rsid w:val="00BC7F08"/>
    <w:rsid w:val="00BD0872"/>
    <w:rsid w:val="00BD0FC9"/>
    <w:rsid w:val="00BD68F0"/>
    <w:rsid w:val="00BE08CE"/>
    <w:rsid w:val="00BE19F1"/>
    <w:rsid w:val="00BE32B5"/>
    <w:rsid w:val="00BE3FB2"/>
    <w:rsid w:val="00BF343C"/>
    <w:rsid w:val="00BF48B5"/>
    <w:rsid w:val="00BF518B"/>
    <w:rsid w:val="00BF59F6"/>
    <w:rsid w:val="00BF5BC2"/>
    <w:rsid w:val="00BF6158"/>
    <w:rsid w:val="00BF71DB"/>
    <w:rsid w:val="00C0633C"/>
    <w:rsid w:val="00C0676D"/>
    <w:rsid w:val="00C07430"/>
    <w:rsid w:val="00C10D3B"/>
    <w:rsid w:val="00C1142B"/>
    <w:rsid w:val="00C1530C"/>
    <w:rsid w:val="00C242B9"/>
    <w:rsid w:val="00C25E77"/>
    <w:rsid w:val="00C27F01"/>
    <w:rsid w:val="00C34124"/>
    <w:rsid w:val="00C3476B"/>
    <w:rsid w:val="00C3512C"/>
    <w:rsid w:val="00C43072"/>
    <w:rsid w:val="00C46936"/>
    <w:rsid w:val="00C4749F"/>
    <w:rsid w:val="00C5172C"/>
    <w:rsid w:val="00C52A18"/>
    <w:rsid w:val="00C54509"/>
    <w:rsid w:val="00C6316F"/>
    <w:rsid w:val="00C63EB5"/>
    <w:rsid w:val="00C657CC"/>
    <w:rsid w:val="00C73C25"/>
    <w:rsid w:val="00C75A9A"/>
    <w:rsid w:val="00C76945"/>
    <w:rsid w:val="00C77F19"/>
    <w:rsid w:val="00C82113"/>
    <w:rsid w:val="00C82F81"/>
    <w:rsid w:val="00C87014"/>
    <w:rsid w:val="00C872EF"/>
    <w:rsid w:val="00C90B4C"/>
    <w:rsid w:val="00C916E6"/>
    <w:rsid w:val="00C9654C"/>
    <w:rsid w:val="00C97580"/>
    <w:rsid w:val="00CA0C8B"/>
    <w:rsid w:val="00CA0EC3"/>
    <w:rsid w:val="00CA300B"/>
    <w:rsid w:val="00CA6243"/>
    <w:rsid w:val="00CA6AA5"/>
    <w:rsid w:val="00CB05A5"/>
    <w:rsid w:val="00CB74AE"/>
    <w:rsid w:val="00CC63E0"/>
    <w:rsid w:val="00CC71A8"/>
    <w:rsid w:val="00CD06D7"/>
    <w:rsid w:val="00CE10A7"/>
    <w:rsid w:val="00CE49EA"/>
    <w:rsid w:val="00CE4E66"/>
    <w:rsid w:val="00CE676C"/>
    <w:rsid w:val="00CE6E2A"/>
    <w:rsid w:val="00CF382C"/>
    <w:rsid w:val="00D00263"/>
    <w:rsid w:val="00D00ACD"/>
    <w:rsid w:val="00D13DF2"/>
    <w:rsid w:val="00D203D3"/>
    <w:rsid w:val="00D20E82"/>
    <w:rsid w:val="00D210AA"/>
    <w:rsid w:val="00D26894"/>
    <w:rsid w:val="00D35785"/>
    <w:rsid w:val="00D37E0B"/>
    <w:rsid w:val="00D4182E"/>
    <w:rsid w:val="00D44313"/>
    <w:rsid w:val="00D46693"/>
    <w:rsid w:val="00D5731D"/>
    <w:rsid w:val="00D60E32"/>
    <w:rsid w:val="00D61611"/>
    <w:rsid w:val="00D616F8"/>
    <w:rsid w:val="00D62E23"/>
    <w:rsid w:val="00D630A4"/>
    <w:rsid w:val="00D71958"/>
    <w:rsid w:val="00D84317"/>
    <w:rsid w:val="00D86726"/>
    <w:rsid w:val="00D90ADE"/>
    <w:rsid w:val="00D90B78"/>
    <w:rsid w:val="00D916C7"/>
    <w:rsid w:val="00D91ED6"/>
    <w:rsid w:val="00D953CB"/>
    <w:rsid w:val="00DA5C46"/>
    <w:rsid w:val="00DB21FE"/>
    <w:rsid w:val="00DB37D3"/>
    <w:rsid w:val="00DC3CF5"/>
    <w:rsid w:val="00DC3F50"/>
    <w:rsid w:val="00DC4B58"/>
    <w:rsid w:val="00DC5E13"/>
    <w:rsid w:val="00DC7254"/>
    <w:rsid w:val="00DD2338"/>
    <w:rsid w:val="00DD3CDF"/>
    <w:rsid w:val="00DD4B36"/>
    <w:rsid w:val="00DE0294"/>
    <w:rsid w:val="00DE5AB6"/>
    <w:rsid w:val="00DE7710"/>
    <w:rsid w:val="00DF2284"/>
    <w:rsid w:val="00DF54D7"/>
    <w:rsid w:val="00E02970"/>
    <w:rsid w:val="00E05A58"/>
    <w:rsid w:val="00E07308"/>
    <w:rsid w:val="00E210DE"/>
    <w:rsid w:val="00E34389"/>
    <w:rsid w:val="00E44E0E"/>
    <w:rsid w:val="00E46979"/>
    <w:rsid w:val="00E46FE1"/>
    <w:rsid w:val="00E561BA"/>
    <w:rsid w:val="00E756D3"/>
    <w:rsid w:val="00E86025"/>
    <w:rsid w:val="00E873EB"/>
    <w:rsid w:val="00E87B4D"/>
    <w:rsid w:val="00E90725"/>
    <w:rsid w:val="00E962FD"/>
    <w:rsid w:val="00E97184"/>
    <w:rsid w:val="00EB0F74"/>
    <w:rsid w:val="00EB338E"/>
    <w:rsid w:val="00EB484B"/>
    <w:rsid w:val="00EC267C"/>
    <w:rsid w:val="00EC2BD3"/>
    <w:rsid w:val="00EC452F"/>
    <w:rsid w:val="00EC534D"/>
    <w:rsid w:val="00EC5635"/>
    <w:rsid w:val="00ED031B"/>
    <w:rsid w:val="00ED1570"/>
    <w:rsid w:val="00ED366F"/>
    <w:rsid w:val="00ED5D82"/>
    <w:rsid w:val="00ED6D06"/>
    <w:rsid w:val="00ED7D58"/>
    <w:rsid w:val="00EE1800"/>
    <w:rsid w:val="00EE52FE"/>
    <w:rsid w:val="00EE719E"/>
    <w:rsid w:val="00EF1580"/>
    <w:rsid w:val="00EF20C4"/>
    <w:rsid w:val="00EF3ABA"/>
    <w:rsid w:val="00EF47D5"/>
    <w:rsid w:val="00EF4830"/>
    <w:rsid w:val="00EF4ABA"/>
    <w:rsid w:val="00EF6080"/>
    <w:rsid w:val="00F00C02"/>
    <w:rsid w:val="00F0176E"/>
    <w:rsid w:val="00F032E2"/>
    <w:rsid w:val="00F11559"/>
    <w:rsid w:val="00F12A1E"/>
    <w:rsid w:val="00F14DFD"/>
    <w:rsid w:val="00F16B0F"/>
    <w:rsid w:val="00F27469"/>
    <w:rsid w:val="00F27C46"/>
    <w:rsid w:val="00F317DC"/>
    <w:rsid w:val="00F33670"/>
    <w:rsid w:val="00F36BCE"/>
    <w:rsid w:val="00F40A57"/>
    <w:rsid w:val="00F40CCB"/>
    <w:rsid w:val="00F4744A"/>
    <w:rsid w:val="00F5183B"/>
    <w:rsid w:val="00F57E07"/>
    <w:rsid w:val="00F64186"/>
    <w:rsid w:val="00F67D21"/>
    <w:rsid w:val="00F67FFA"/>
    <w:rsid w:val="00F74520"/>
    <w:rsid w:val="00F80F82"/>
    <w:rsid w:val="00F82371"/>
    <w:rsid w:val="00F875C6"/>
    <w:rsid w:val="00F90D0E"/>
    <w:rsid w:val="00F9710B"/>
    <w:rsid w:val="00FA7788"/>
    <w:rsid w:val="00FB6526"/>
    <w:rsid w:val="00FC041F"/>
    <w:rsid w:val="00FC6D40"/>
    <w:rsid w:val="00FD09E3"/>
    <w:rsid w:val="00FD26A9"/>
    <w:rsid w:val="00FD352F"/>
    <w:rsid w:val="00FE20F4"/>
    <w:rsid w:val="00FE3476"/>
    <w:rsid w:val="00FE4D02"/>
    <w:rsid w:val="00FF07ED"/>
    <w:rsid w:val="00FF08C8"/>
    <w:rsid w:val="00FF0D19"/>
    <w:rsid w:val="00FF4B0C"/>
    <w:rsid w:val="00FF4B2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4C"/>
    <w:pPr>
      <w:spacing w:after="0" w:line="240" w:lineRule="auto"/>
    </w:pPr>
    <w:rPr>
      <w:rFonts w:ascii="Arial" w:eastAsia="Times New Roman" w:hAnsi="Arial" w:cs="Arial"/>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1570"/>
    <w:pPr>
      <w:tabs>
        <w:tab w:val="center" w:pos="4536"/>
        <w:tab w:val="right" w:pos="9072"/>
      </w:tabs>
    </w:pPr>
  </w:style>
  <w:style w:type="character" w:customStyle="1" w:styleId="En-tteCar">
    <w:name w:val="En-tête Car"/>
    <w:basedOn w:val="Policepardfaut"/>
    <w:link w:val="En-tte"/>
    <w:uiPriority w:val="99"/>
    <w:rsid w:val="006F1570"/>
    <w:rPr>
      <w:rFonts w:ascii="Arial" w:eastAsia="Times New Roman" w:hAnsi="Arial" w:cs="Arial"/>
      <w:lang w:val="de-DE"/>
    </w:rPr>
  </w:style>
  <w:style w:type="paragraph" w:styleId="Pieddepage">
    <w:name w:val="footer"/>
    <w:basedOn w:val="Normal"/>
    <w:link w:val="PieddepageCar"/>
    <w:uiPriority w:val="99"/>
    <w:unhideWhenUsed/>
    <w:rsid w:val="006F1570"/>
    <w:pPr>
      <w:tabs>
        <w:tab w:val="center" w:pos="4536"/>
        <w:tab w:val="right" w:pos="9072"/>
      </w:tabs>
    </w:pPr>
  </w:style>
  <w:style w:type="character" w:customStyle="1" w:styleId="PieddepageCar">
    <w:name w:val="Pied de page Car"/>
    <w:basedOn w:val="Policepardfaut"/>
    <w:link w:val="Pieddepage"/>
    <w:uiPriority w:val="99"/>
    <w:rsid w:val="006F1570"/>
    <w:rPr>
      <w:rFonts w:ascii="Arial" w:eastAsia="Times New Roman" w:hAnsi="Arial" w:cs="Arial"/>
      <w:lang w:val="de-DE"/>
    </w:rPr>
  </w:style>
  <w:style w:type="paragraph" w:styleId="Textedebulles">
    <w:name w:val="Balloon Text"/>
    <w:basedOn w:val="Normal"/>
    <w:link w:val="TextedebullesCar"/>
    <w:uiPriority w:val="99"/>
    <w:semiHidden/>
    <w:unhideWhenUsed/>
    <w:rsid w:val="00C872EF"/>
    <w:rPr>
      <w:rFonts w:ascii="Tahoma" w:hAnsi="Tahoma" w:cs="Tahoma"/>
      <w:sz w:val="16"/>
      <w:szCs w:val="16"/>
    </w:rPr>
  </w:style>
  <w:style w:type="character" w:customStyle="1" w:styleId="TextedebullesCar">
    <w:name w:val="Texte de bulles Car"/>
    <w:basedOn w:val="Policepardfaut"/>
    <w:link w:val="Textedebulles"/>
    <w:uiPriority w:val="99"/>
    <w:semiHidden/>
    <w:rsid w:val="00C872EF"/>
    <w:rPr>
      <w:rFonts w:ascii="Tahoma" w:eastAsia="Times New Roman" w:hAnsi="Tahoma" w:cs="Tahoma"/>
      <w:sz w:val="16"/>
      <w:szCs w:val="16"/>
      <w:lang w:val="de-DE"/>
    </w:rPr>
  </w:style>
  <w:style w:type="paragraph" w:customStyle="1" w:styleId="SmallTitle1">
    <w:name w:val="Small Title_1"/>
    <w:basedOn w:val="Normal"/>
    <w:qFormat/>
    <w:rsid w:val="00232690"/>
    <w:pPr>
      <w:keepNext/>
      <w:widowControl w:val="0"/>
      <w:numPr>
        <w:numId w:val="7"/>
      </w:numPr>
      <w:autoSpaceDE w:val="0"/>
      <w:autoSpaceDN w:val="0"/>
      <w:adjustRightInd w:val="0"/>
      <w:jc w:val="both"/>
    </w:pPr>
    <w:rPr>
      <w:rFonts w:eastAsia="SimSun"/>
      <w:b/>
      <w:color w:val="000000"/>
      <w:lang w:eastAsia="en-AU"/>
    </w:rPr>
  </w:style>
  <w:style w:type="paragraph" w:customStyle="1" w:styleId="Question1">
    <w:name w:val="Question_1"/>
    <w:basedOn w:val="Normal"/>
    <w:qFormat/>
    <w:rsid w:val="000B284A"/>
    <w:pPr>
      <w:numPr>
        <w:ilvl w:val="2"/>
        <w:numId w:val="44"/>
      </w:numPr>
      <w:spacing w:after="120" w:line="264" w:lineRule="auto"/>
      <w:jc w:val="both"/>
      <w:outlineLvl w:val="0"/>
    </w:pPr>
    <w:rPr>
      <w:rFonts w:eastAsia="Arial Unicode MS"/>
      <w:noProof/>
      <w:color w:val="000000"/>
      <w:u w:color="000000"/>
      <w:lang w:val="en-GB" w:eastAsia="de-CH"/>
    </w:rPr>
  </w:style>
  <w:style w:type="paragraph" w:customStyle="1" w:styleId="Question11">
    <w:name w:val="Question_1_1"/>
    <w:basedOn w:val="Normal"/>
    <w:qFormat/>
    <w:rsid w:val="00232690"/>
    <w:pPr>
      <w:numPr>
        <w:numId w:val="3"/>
      </w:numPr>
      <w:tabs>
        <w:tab w:val="num" w:pos="360"/>
      </w:tabs>
      <w:ind w:left="1080" w:firstLine="0"/>
      <w:jc w:val="both"/>
      <w:outlineLvl w:val="0"/>
    </w:pPr>
    <w:rPr>
      <w:rFonts w:eastAsia="Arial Unicode MS"/>
      <w:color w:val="000000"/>
      <w:u w:color="000000"/>
      <w:lang w:val="en-US"/>
    </w:rPr>
  </w:style>
  <w:style w:type="paragraph" w:customStyle="1" w:styleId="Question31">
    <w:name w:val="Question_3_1"/>
    <w:basedOn w:val="Normal"/>
    <w:qFormat/>
    <w:rsid w:val="008D1064"/>
    <w:pPr>
      <w:numPr>
        <w:ilvl w:val="3"/>
        <w:numId w:val="44"/>
      </w:numPr>
      <w:spacing w:after="120" w:line="264" w:lineRule="auto"/>
      <w:jc w:val="both"/>
      <w:outlineLvl w:val="0"/>
    </w:pPr>
    <w:rPr>
      <w:rFonts w:eastAsia="Arial Unicode MS"/>
      <w:color w:val="000000"/>
      <w:u w:color="000000"/>
      <w:lang w:val="en-US"/>
    </w:rPr>
  </w:style>
  <w:style w:type="paragraph" w:customStyle="1" w:styleId="Qestion21">
    <w:name w:val="Qestion_2_1"/>
    <w:basedOn w:val="Normal"/>
    <w:qFormat/>
    <w:rsid w:val="002A3F3F"/>
    <w:pPr>
      <w:numPr>
        <w:ilvl w:val="1"/>
        <w:numId w:val="44"/>
      </w:numPr>
      <w:spacing w:after="120" w:line="264" w:lineRule="auto"/>
      <w:jc w:val="both"/>
      <w:outlineLvl w:val="0"/>
    </w:pPr>
    <w:rPr>
      <w:rFonts w:eastAsia="Arial Unicode MS"/>
      <w:noProof/>
      <w:color w:val="000000"/>
      <w:u w:color="000000"/>
      <w:lang w:val="en-US"/>
    </w:rPr>
  </w:style>
  <w:style w:type="paragraph" w:customStyle="1" w:styleId="SmallTitle2">
    <w:name w:val="Small Title_2"/>
    <w:basedOn w:val="Normal"/>
    <w:qFormat/>
    <w:rsid w:val="00232690"/>
    <w:pPr>
      <w:jc w:val="both"/>
      <w:outlineLvl w:val="0"/>
    </w:pPr>
    <w:rPr>
      <w:rFonts w:eastAsia="Arial Unicode MS"/>
      <w:color w:val="000000"/>
      <w:u w:color="000000"/>
      <w:lang w:val="en-US" w:eastAsia="de-CH"/>
    </w:rPr>
  </w:style>
  <w:style w:type="paragraph" w:customStyle="1" w:styleId="Question41">
    <w:name w:val="Question_4_1"/>
    <w:basedOn w:val="Normal"/>
    <w:qFormat/>
    <w:rsid w:val="00232690"/>
    <w:pPr>
      <w:numPr>
        <w:numId w:val="6"/>
      </w:numPr>
      <w:jc w:val="both"/>
      <w:outlineLvl w:val="0"/>
    </w:pPr>
    <w:rPr>
      <w:rFonts w:eastAsia="Arial Unicode MS"/>
      <w:color w:val="000000"/>
      <w:u w:color="000000"/>
      <w:lang w:val="en-US"/>
    </w:rPr>
  </w:style>
  <w:style w:type="paragraph" w:customStyle="1" w:styleId="ImportWordListStyleDefinition3">
    <w:name w:val="Import Word List Style Definition 3"/>
    <w:rsid w:val="001A43BE"/>
    <w:pPr>
      <w:numPr>
        <w:numId w:val="1"/>
      </w:numPr>
      <w:spacing w:after="0" w:line="240" w:lineRule="auto"/>
    </w:pPr>
    <w:rPr>
      <w:rFonts w:ascii="Times New Roman" w:eastAsia="Times New Roman" w:hAnsi="Times New Roman" w:cs="Times New Roman"/>
      <w:sz w:val="20"/>
      <w:szCs w:val="20"/>
      <w:lang w:eastAsia="de-CH"/>
    </w:rPr>
  </w:style>
  <w:style w:type="paragraph" w:styleId="Paragraphedeliste">
    <w:name w:val="List Paragraph"/>
    <w:basedOn w:val="Normal"/>
    <w:uiPriority w:val="34"/>
    <w:qFormat/>
    <w:rsid w:val="00AC6537"/>
    <w:pPr>
      <w:ind w:left="720"/>
      <w:contextualSpacing/>
    </w:pPr>
  </w:style>
  <w:style w:type="character" w:styleId="Accentuation">
    <w:name w:val="Emphasis"/>
    <w:basedOn w:val="Policepardfaut"/>
    <w:uiPriority w:val="20"/>
    <w:qFormat/>
    <w:rsid w:val="00110701"/>
    <w:rPr>
      <w:b/>
      <w:bCs/>
      <w:i w:val="0"/>
      <w:iCs w:val="0"/>
    </w:rPr>
  </w:style>
  <w:style w:type="character" w:customStyle="1" w:styleId="st">
    <w:name w:val="st"/>
    <w:basedOn w:val="Policepardfaut"/>
    <w:rsid w:val="00110701"/>
  </w:style>
  <w:style w:type="paragraph" w:styleId="Rvision">
    <w:name w:val="Revision"/>
    <w:hidden/>
    <w:uiPriority w:val="99"/>
    <w:semiHidden/>
    <w:rsid w:val="00C242B9"/>
    <w:pPr>
      <w:spacing w:after="0" w:line="240" w:lineRule="auto"/>
    </w:pPr>
    <w:rPr>
      <w:rFonts w:ascii="Arial" w:eastAsia="Times New Roman" w:hAnsi="Arial" w:cs="Arial"/>
      <w:lang w:val="de-DE"/>
    </w:rPr>
  </w:style>
  <w:style w:type="character" w:styleId="Lienhypertexte">
    <w:name w:val="Hyperlink"/>
    <w:basedOn w:val="Policepardfaut"/>
    <w:uiPriority w:val="99"/>
    <w:unhideWhenUsed/>
    <w:rsid w:val="001B2152"/>
    <w:rPr>
      <w:color w:val="0000FF" w:themeColor="hyperlink"/>
      <w:u w:val="single"/>
    </w:rPr>
  </w:style>
  <w:style w:type="paragraph" w:styleId="Notedebasdepage">
    <w:name w:val="footnote text"/>
    <w:basedOn w:val="Normal"/>
    <w:link w:val="NotedebasdepageCar"/>
    <w:uiPriority w:val="99"/>
    <w:unhideWhenUsed/>
    <w:rsid w:val="00FD26A9"/>
    <w:rPr>
      <w:sz w:val="20"/>
      <w:szCs w:val="20"/>
    </w:rPr>
  </w:style>
  <w:style w:type="character" w:customStyle="1" w:styleId="NotedebasdepageCar">
    <w:name w:val="Note de bas de page Car"/>
    <w:basedOn w:val="Policepardfaut"/>
    <w:link w:val="Notedebasdepage"/>
    <w:uiPriority w:val="99"/>
    <w:rsid w:val="00FD26A9"/>
    <w:rPr>
      <w:rFonts w:ascii="Arial" w:eastAsia="Times New Roman" w:hAnsi="Arial" w:cs="Arial"/>
      <w:sz w:val="20"/>
      <w:szCs w:val="20"/>
      <w:lang w:val="de-DE"/>
    </w:rPr>
  </w:style>
  <w:style w:type="character" w:styleId="Appelnotedebasdep">
    <w:name w:val="footnote reference"/>
    <w:basedOn w:val="Policepardfaut"/>
    <w:uiPriority w:val="99"/>
    <w:semiHidden/>
    <w:unhideWhenUsed/>
    <w:rsid w:val="00FD26A9"/>
    <w:rPr>
      <w:vertAlign w:val="superscript"/>
    </w:rPr>
  </w:style>
  <w:style w:type="character" w:styleId="Marquedecommentaire">
    <w:name w:val="annotation reference"/>
    <w:basedOn w:val="Policepardfaut"/>
    <w:uiPriority w:val="99"/>
    <w:semiHidden/>
    <w:unhideWhenUsed/>
    <w:rsid w:val="003B63A4"/>
    <w:rPr>
      <w:sz w:val="16"/>
      <w:szCs w:val="16"/>
    </w:rPr>
  </w:style>
  <w:style w:type="paragraph" w:styleId="Commentaire">
    <w:name w:val="annotation text"/>
    <w:basedOn w:val="Normal"/>
    <w:link w:val="CommentaireCar"/>
    <w:uiPriority w:val="99"/>
    <w:semiHidden/>
    <w:unhideWhenUsed/>
    <w:rsid w:val="003B63A4"/>
    <w:rPr>
      <w:sz w:val="20"/>
      <w:szCs w:val="20"/>
    </w:rPr>
  </w:style>
  <w:style w:type="character" w:customStyle="1" w:styleId="CommentaireCar">
    <w:name w:val="Commentaire Car"/>
    <w:basedOn w:val="Policepardfaut"/>
    <w:link w:val="Commentaire"/>
    <w:uiPriority w:val="99"/>
    <w:semiHidden/>
    <w:rsid w:val="003B63A4"/>
    <w:rPr>
      <w:rFonts w:ascii="Arial" w:eastAsia="Times New Roman" w:hAnsi="Arial" w:cs="Arial"/>
      <w:sz w:val="20"/>
      <w:szCs w:val="20"/>
      <w:lang w:val="de-DE"/>
    </w:rPr>
  </w:style>
  <w:style w:type="paragraph" w:styleId="Objetducommentaire">
    <w:name w:val="annotation subject"/>
    <w:basedOn w:val="Commentaire"/>
    <w:next w:val="Commentaire"/>
    <w:link w:val="ObjetducommentaireCar"/>
    <w:uiPriority w:val="99"/>
    <w:semiHidden/>
    <w:unhideWhenUsed/>
    <w:rsid w:val="003B63A4"/>
    <w:rPr>
      <w:b/>
      <w:bCs/>
    </w:rPr>
  </w:style>
  <w:style w:type="character" w:customStyle="1" w:styleId="ObjetducommentaireCar">
    <w:name w:val="Objet du commentaire Car"/>
    <w:basedOn w:val="CommentaireCar"/>
    <w:link w:val="Objetducommentaire"/>
    <w:uiPriority w:val="99"/>
    <w:semiHidden/>
    <w:rsid w:val="003B63A4"/>
    <w:rPr>
      <w:rFonts w:ascii="Arial" w:eastAsia="Times New Roman" w:hAnsi="Arial" w:cs="Arial"/>
      <w:b/>
      <w:bCs/>
      <w:sz w:val="20"/>
      <w:szCs w:val="20"/>
      <w:lang w:val="de-DE"/>
    </w:rPr>
  </w:style>
  <w:style w:type="paragraph" w:styleId="Notedefin">
    <w:name w:val="endnote text"/>
    <w:basedOn w:val="Normal"/>
    <w:link w:val="NotedefinCar"/>
    <w:uiPriority w:val="99"/>
    <w:semiHidden/>
    <w:unhideWhenUsed/>
    <w:rsid w:val="003E0FAF"/>
    <w:rPr>
      <w:sz w:val="20"/>
      <w:szCs w:val="20"/>
    </w:rPr>
  </w:style>
  <w:style w:type="character" w:customStyle="1" w:styleId="NotedefinCar">
    <w:name w:val="Note de fin Car"/>
    <w:basedOn w:val="Policepardfaut"/>
    <w:link w:val="Notedefin"/>
    <w:uiPriority w:val="99"/>
    <w:semiHidden/>
    <w:rsid w:val="003E0FAF"/>
    <w:rPr>
      <w:rFonts w:ascii="Arial" w:eastAsia="Times New Roman" w:hAnsi="Arial" w:cs="Arial"/>
      <w:sz w:val="20"/>
      <w:szCs w:val="20"/>
      <w:lang w:val="en-AU"/>
    </w:rPr>
  </w:style>
  <w:style w:type="character" w:styleId="Appeldenotedefin">
    <w:name w:val="endnote reference"/>
    <w:basedOn w:val="Policepardfaut"/>
    <w:uiPriority w:val="99"/>
    <w:semiHidden/>
    <w:unhideWhenUsed/>
    <w:rsid w:val="003E0FAF"/>
    <w:rPr>
      <w:vertAlign w:val="superscript"/>
    </w:rPr>
  </w:style>
  <w:style w:type="paragraph" w:customStyle="1" w:styleId="Default">
    <w:name w:val="Default"/>
    <w:rsid w:val="00CE10A7"/>
    <w:pPr>
      <w:autoSpaceDE w:val="0"/>
      <w:autoSpaceDN w:val="0"/>
      <w:adjustRightInd w:val="0"/>
      <w:spacing w:after="0" w:line="240" w:lineRule="auto"/>
    </w:pPr>
    <w:rPr>
      <w:rFonts w:ascii="Arial" w:hAnsi="Arial" w:cs="Arial"/>
      <w:color w:val="000000"/>
      <w:sz w:val="24"/>
      <w:szCs w:val="24"/>
      <w:lang w:val="nl-NL"/>
    </w:rPr>
  </w:style>
  <w:style w:type="paragraph" w:styleId="Citation">
    <w:name w:val="Quote"/>
    <w:basedOn w:val="Normal"/>
    <w:next w:val="Normal"/>
    <w:link w:val="CitationCar"/>
    <w:uiPriority w:val="29"/>
    <w:qFormat/>
    <w:rsid w:val="00774058"/>
    <w:pPr>
      <w:spacing w:after="120" w:line="264" w:lineRule="auto"/>
      <w:ind w:left="709"/>
    </w:pPr>
    <w:rPr>
      <w:i/>
      <w:iCs/>
      <w:noProof/>
      <w:color w:val="000000" w:themeColor="text1"/>
    </w:rPr>
  </w:style>
  <w:style w:type="character" w:customStyle="1" w:styleId="CitationCar">
    <w:name w:val="Citation Car"/>
    <w:basedOn w:val="Policepardfaut"/>
    <w:link w:val="Citation"/>
    <w:uiPriority w:val="29"/>
    <w:rsid w:val="00774058"/>
    <w:rPr>
      <w:rFonts w:ascii="Arial" w:eastAsia="Times New Roman" w:hAnsi="Arial" w:cs="Arial"/>
      <w:i/>
      <w:iCs/>
      <w:noProof/>
      <w:color w:val="000000" w:themeColor="text1"/>
      <w:lang w:val="en-AU"/>
    </w:rPr>
  </w:style>
  <w:style w:type="paragraph" w:customStyle="1" w:styleId="para1">
    <w:name w:val="para_1"/>
    <w:basedOn w:val="Question1"/>
    <w:rsid w:val="000B284A"/>
    <w:pPr>
      <w:numPr>
        <w:ilvl w:val="0"/>
      </w:numPr>
    </w:pPr>
  </w:style>
  <w:style w:type="paragraph" w:customStyle="1" w:styleId="Underlineheading">
    <w:name w:val="Underline heading"/>
    <w:basedOn w:val="Normal"/>
    <w:rsid w:val="00646603"/>
    <w:pPr>
      <w:spacing w:after="120" w:line="264" w:lineRule="auto"/>
    </w:pPr>
    <w:rPr>
      <w:noProof/>
      <w:u w:val="single"/>
    </w:rPr>
  </w:style>
  <w:style w:type="paragraph" w:customStyle="1" w:styleId="Dash">
    <w:name w:val="Dash"/>
    <w:basedOn w:val="Normal"/>
    <w:rsid w:val="008D1064"/>
    <w:pPr>
      <w:spacing w:after="120" w:line="264" w:lineRule="auto"/>
      <w:ind w:left="1418" w:hanging="709"/>
      <w:jc w:val="both"/>
      <w:outlineLvl w:val="0"/>
    </w:pPr>
    <w:rPr>
      <w:noProof/>
    </w:rPr>
  </w:style>
  <w:style w:type="paragraph" w:customStyle="1" w:styleId="Bodyindent">
    <w:name w:val="Body indent"/>
    <w:basedOn w:val="Normal"/>
    <w:rsid w:val="00683C06"/>
    <w:pPr>
      <w:spacing w:after="120" w:line="264" w:lineRule="auto"/>
      <w:ind w:left="708"/>
    </w:pPr>
    <w:rPr>
      <w:noProof/>
    </w:rPr>
  </w:style>
  <w:style w:type="paragraph" w:customStyle="1" w:styleId="HeadingBold">
    <w:name w:val="Heading Bold"/>
    <w:basedOn w:val="Normal"/>
    <w:next w:val="Para-1"/>
    <w:rsid w:val="000E1CEF"/>
    <w:pPr>
      <w:keepNext/>
      <w:keepLines/>
      <w:numPr>
        <w:numId w:val="47"/>
      </w:numPr>
      <w:spacing w:before="200" w:line="276" w:lineRule="auto"/>
    </w:pPr>
    <w:rPr>
      <w:rFonts w:eastAsiaTheme="minorHAnsi" w:cstheme="minorBidi"/>
      <w:b/>
    </w:rPr>
  </w:style>
  <w:style w:type="paragraph" w:customStyle="1" w:styleId="HeadingUnderline">
    <w:name w:val="Heading Underline"/>
    <w:basedOn w:val="Normal"/>
    <w:rsid w:val="000E1CEF"/>
    <w:pPr>
      <w:keepNext/>
      <w:keepLines/>
      <w:numPr>
        <w:ilvl w:val="1"/>
        <w:numId w:val="47"/>
      </w:numPr>
      <w:spacing w:before="200" w:line="276" w:lineRule="auto"/>
    </w:pPr>
    <w:rPr>
      <w:rFonts w:eastAsiaTheme="minorHAnsi" w:cstheme="minorBidi"/>
      <w:u w:val="single"/>
      <w:lang w:eastAsia="ja-JP"/>
    </w:rPr>
  </w:style>
  <w:style w:type="paragraph" w:customStyle="1" w:styleId="Para-1">
    <w:name w:val="Para - 1)"/>
    <w:basedOn w:val="Normal"/>
    <w:rsid w:val="000E1CEF"/>
    <w:pPr>
      <w:numPr>
        <w:ilvl w:val="2"/>
        <w:numId w:val="47"/>
      </w:numPr>
      <w:spacing w:before="200" w:line="276" w:lineRule="auto"/>
    </w:pPr>
    <w:rPr>
      <w:rFonts w:eastAsiaTheme="minorHAnsi" w:cstheme="minorBidi"/>
      <w:lang w:eastAsia="ja-JP"/>
    </w:rPr>
  </w:style>
  <w:style w:type="paragraph" w:customStyle="1" w:styleId="Para-a">
    <w:name w:val="Para - a)"/>
    <w:basedOn w:val="Normal"/>
    <w:rsid w:val="000E1CEF"/>
    <w:pPr>
      <w:numPr>
        <w:ilvl w:val="3"/>
        <w:numId w:val="47"/>
      </w:numPr>
      <w:spacing w:before="200" w:line="276" w:lineRule="auto"/>
    </w:pPr>
    <w:rPr>
      <w:rFonts w:eastAsiaTheme="minorHAnsi" w:cstheme="minorBidi"/>
      <w:lang w:eastAsia="ja-JP"/>
    </w:rPr>
  </w:style>
  <w:style w:type="paragraph" w:customStyle="1" w:styleId="Para-i">
    <w:name w:val="Para - i)"/>
    <w:basedOn w:val="Normal"/>
    <w:rsid w:val="000E1CEF"/>
    <w:pPr>
      <w:numPr>
        <w:ilvl w:val="4"/>
        <w:numId w:val="47"/>
      </w:numPr>
      <w:spacing w:before="200" w:line="276" w:lineRule="auto"/>
    </w:pPr>
    <w:rPr>
      <w:rFonts w:eastAsiaTheme="minorHAnsi" w:cstheme="minorBidi"/>
    </w:rPr>
  </w:style>
  <w:style w:type="paragraph" w:customStyle="1" w:styleId="QHeadingI">
    <w:name w:val="Q Heading I"/>
    <w:basedOn w:val="Normal"/>
    <w:rsid w:val="000E1CEF"/>
    <w:pPr>
      <w:keepNext/>
      <w:keepLines/>
      <w:numPr>
        <w:ilvl w:val="5"/>
        <w:numId w:val="47"/>
      </w:numPr>
      <w:spacing w:before="200" w:line="276" w:lineRule="auto"/>
    </w:pPr>
    <w:rPr>
      <w:rFonts w:eastAsiaTheme="minorHAnsi" w:cstheme="minorBidi"/>
      <w:b/>
    </w:rPr>
  </w:style>
  <w:style w:type="paragraph" w:customStyle="1" w:styleId="QPara-1">
    <w:name w:val="Q Para - 1)"/>
    <w:basedOn w:val="Normal"/>
    <w:rsid w:val="000E1CEF"/>
    <w:pPr>
      <w:numPr>
        <w:ilvl w:val="6"/>
        <w:numId w:val="47"/>
      </w:numPr>
      <w:spacing w:before="200" w:line="276" w:lineRule="auto"/>
    </w:pPr>
    <w:rPr>
      <w:rFonts w:eastAsiaTheme="minorHAnsi" w:cstheme="minorBidi"/>
    </w:rPr>
  </w:style>
  <w:style w:type="paragraph" w:customStyle="1" w:styleId="QPara-a">
    <w:name w:val="Q Para - a)"/>
    <w:basedOn w:val="Normal"/>
    <w:rsid w:val="000E1CEF"/>
    <w:pPr>
      <w:numPr>
        <w:ilvl w:val="7"/>
        <w:numId w:val="47"/>
      </w:numPr>
      <w:spacing w:before="200" w:line="276" w:lineRule="auto"/>
    </w:pPr>
    <w:rPr>
      <w:rFonts w:eastAsiaTheme="minorHAnsi" w:cstheme="minorBidi"/>
    </w:rPr>
  </w:style>
  <w:style w:type="paragraph" w:customStyle="1" w:styleId="DocumentHeading">
    <w:name w:val="Document Heading"/>
    <w:basedOn w:val="Normal"/>
    <w:rsid w:val="000E1CEF"/>
    <w:pPr>
      <w:spacing w:before="120" w:line="288" w:lineRule="auto"/>
      <w:jc w:val="center"/>
    </w:pPr>
    <w:rPr>
      <w:rFonts w:eastAsiaTheme="minorEastAsia"/>
      <w:b/>
      <w:sz w:val="24"/>
      <w:szCs w:val="24"/>
      <w:lang w:val="en-US"/>
    </w:rPr>
  </w:style>
  <w:style w:type="paragraph" w:styleId="Corpsdetexte">
    <w:name w:val="Body Text"/>
    <w:basedOn w:val="Normal"/>
    <w:link w:val="CorpsdetexteCar"/>
    <w:uiPriority w:val="99"/>
    <w:unhideWhenUsed/>
    <w:rsid w:val="000E1CEF"/>
    <w:rPr>
      <w:rFonts w:eastAsiaTheme="minorEastAsia" w:cstheme="minorBidi"/>
    </w:rPr>
  </w:style>
  <w:style w:type="character" w:customStyle="1" w:styleId="CorpsdetexteCar">
    <w:name w:val="Corps de texte Car"/>
    <w:basedOn w:val="Policepardfaut"/>
    <w:link w:val="Corpsdetexte"/>
    <w:uiPriority w:val="99"/>
    <w:rsid w:val="000E1CEF"/>
    <w:rPr>
      <w:rFonts w:ascii="Arial" w:eastAsiaTheme="minorEastAsia" w:hAnsi="Arial"/>
      <w:lang w:val="en-AU"/>
    </w:rPr>
  </w:style>
  <w:style w:type="paragraph" w:styleId="Retraitnormal">
    <w:name w:val="Normal Indent"/>
    <w:basedOn w:val="Normal"/>
    <w:uiPriority w:val="99"/>
    <w:unhideWhenUsed/>
    <w:rsid w:val="00457AE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4C"/>
    <w:pPr>
      <w:spacing w:after="0" w:line="240" w:lineRule="auto"/>
    </w:pPr>
    <w:rPr>
      <w:rFonts w:ascii="Arial" w:eastAsia="Times New Roman" w:hAnsi="Arial" w:cs="Arial"/>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1570"/>
    <w:pPr>
      <w:tabs>
        <w:tab w:val="center" w:pos="4536"/>
        <w:tab w:val="right" w:pos="9072"/>
      </w:tabs>
    </w:pPr>
  </w:style>
  <w:style w:type="character" w:customStyle="1" w:styleId="En-tteCar">
    <w:name w:val="En-tête Car"/>
    <w:basedOn w:val="Policepardfaut"/>
    <w:link w:val="En-tte"/>
    <w:uiPriority w:val="99"/>
    <w:rsid w:val="006F1570"/>
    <w:rPr>
      <w:rFonts w:ascii="Arial" w:eastAsia="Times New Roman" w:hAnsi="Arial" w:cs="Arial"/>
      <w:lang w:val="de-DE"/>
    </w:rPr>
  </w:style>
  <w:style w:type="paragraph" w:styleId="Pieddepage">
    <w:name w:val="footer"/>
    <w:basedOn w:val="Normal"/>
    <w:link w:val="PieddepageCar"/>
    <w:uiPriority w:val="99"/>
    <w:unhideWhenUsed/>
    <w:rsid w:val="006F1570"/>
    <w:pPr>
      <w:tabs>
        <w:tab w:val="center" w:pos="4536"/>
        <w:tab w:val="right" w:pos="9072"/>
      </w:tabs>
    </w:pPr>
  </w:style>
  <w:style w:type="character" w:customStyle="1" w:styleId="PieddepageCar">
    <w:name w:val="Pied de page Car"/>
    <w:basedOn w:val="Policepardfaut"/>
    <w:link w:val="Pieddepage"/>
    <w:uiPriority w:val="99"/>
    <w:rsid w:val="006F1570"/>
    <w:rPr>
      <w:rFonts w:ascii="Arial" w:eastAsia="Times New Roman" w:hAnsi="Arial" w:cs="Arial"/>
      <w:lang w:val="de-DE"/>
    </w:rPr>
  </w:style>
  <w:style w:type="paragraph" w:styleId="Textedebulles">
    <w:name w:val="Balloon Text"/>
    <w:basedOn w:val="Normal"/>
    <w:link w:val="TextedebullesCar"/>
    <w:uiPriority w:val="99"/>
    <w:semiHidden/>
    <w:unhideWhenUsed/>
    <w:rsid w:val="00C872EF"/>
    <w:rPr>
      <w:rFonts w:ascii="Tahoma" w:hAnsi="Tahoma" w:cs="Tahoma"/>
      <w:sz w:val="16"/>
      <w:szCs w:val="16"/>
    </w:rPr>
  </w:style>
  <w:style w:type="character" w:customStyle="1" w:styleId="TextedebullesCar">
    <w:name w:val="Texte de bulles Car"/>
    <w:basedOn w:val="Policepardfaut"/>
    <w:link w:val="Textedebulles"/>
    <w:uiPriority w:val="99"/>
    <w:semiHidden/>
    <w:rsid w:val="00C872EF"/>
    <w:rPr>
      <w:rFonts w:ascii="Tahoma" w:eastAsia="Times New Roman" w:hAnsi="Tahoma" w:cs="Tahoma"/>
      <w:sz w:val="16"/>
      <w:szCs w:val="16"/>
      <w:lang w:val="de-DE"/>
    </w:rPr>
  </w:style>
  <w:style w:type="paragraph" w:customStyle="1" w:styleId="SmallTitle1">
    <w:name w:val="Small Title_1"/>
    <w:basedOn w:val="Normal"/>
    <w:qFormat/>
    <w:rsid w:val="00232690"/>
    <w:pPr>
      <w:keepNext/>
      <w:widowControl w:val="0"/>
      <w:numPr>
        <w:numId w:val="7"/>
      </w:numPr>
      <w:autoSpaceDE w:val="0"/>
      <w:autoSpaceDN w:val="0"/>
      <w:adjustRightInd w:val="0"/>
      <w:jc w:val="both"/>
    </w:pPr>
    <w:rPr>
      <w:rFonts w:eastAsia="SimSun"/>
      <w:b/>
      <w:color w:val="000000"/>
      <w:lang w:eastAsia="en-AU"/>
    </w:rPr>
  </w:style>
  <w:style w:type="paragraph" w:customStyle="1" w:styleId="Question1">
    <w:name w:val="Question_1"/>
    <w:basedOn w:val="Normal"/>
    <w:qFormat/>
    <w:rsid w:val="000B284A"/>
    <w:pPr>
      <w:numPr>
        <w:ilvl w:val="2"/>
        <w:numId w:val="44"/>
      </w:numPr>
      <w:spacing w:after="120" w:line="264" w:lineRule="auto"/>
      <w:jc w:val="both"/>
      <w:outlineLvl w:val="0"/>
    </w:pPr>
    <w:rPr>
      <w:rFonts w:eastAsia="Arial Unicode MS"/>
      <w:noProof/>
      <w:color w:val="000000"/>
      <w:u w:color="000000"/>
      <w:lang w:val="en-GB" w:eastAsia="de-CH"/>
    </w:rPr>
  </w:style>
  <w:style w:type="paragraph" w:customStyle="1" w:styleId="Question11">
    <w:name w:val="Question_1_1"/>
    <w:basedOn w:val="Normal"/>
    <w:qFormat/>
    <w:rsid w:val="00232690"/>
    <w:pPr>
      <w:numPr>
        <w:numId w:val="3"/>
      </w:numPr>
      <w:tabs>
        <w:tab w:val="num" w:pos="360"/>
      </w:tabs>
      <w:ind w:left="1080" w:firstLine="0"/>
      <w:jc w:val="both"/>
      <w:outlineLvl w:val="0"/>
    </w:pPr>
    <w:rPr>
      <w:rFonts w:eastAsia="Arial Unicode MS"/>
      <w:color w:val="000000"/>
      <w:u w:color="000000"/>
      <w:lang w:val="en-US"/>
    </w:rPr>
  </w:style>
  <w:style w:type="paragraph" w:customStyle="1" w:styleId="Question31">
    <w:name w:val="Question_3_1"/>
    <w:basedOn w:val="Normal"/>
    <w:qFormat/>
    <w:rsid w:val="008D1064"/>
    <w:pPr>
      <w:numPr>
        <w:ilvl w:val="3"/>
        <w:numId w:val="44"/>
      </w:numPr>
      <w:spacing w:after="120" w:line="264" w:lineRule="auto"/>
      <w:jc w:val="both"/>
      <w:outlineLvl w:val="0"/>
    </w:pPr>
    <w:rPr>
      <w:rFonts w:eastAsia="Arial Unicode MS"/>
      <w:color w:val="000000"/>
      <w:u w:color="000000"/>
      <w:lang w:val="en-US"/>
    </w:rPr>
  </w:style>
  <w:style w:type="paragraph" w:customStyle="1" w:styleId="Qestion21">
    <w:name w:val="Qestion_2_1"/>
    <w:basedOn w:val="Normal"/>
    <w:qFormat/>
    <w:rsid w:val="002A3F3F"/>
    <w:pPr>
      <w:numPr>
        <w:ilvl w:val="1"/>
        <w:numId w:val="44"/>
      </w:numPr>
      <w:spacing w:after="120" w:line="264" w:lineRule="auto"/>
      <w:jc w:val="both"/>
      <w:outlineLvl w:val="0"/>
    </w:pPr>
    <w:rPr>
      <w:rFonts w:eastAsia="Arial Unicode MS"/>
      <w:noProof/>
      <w:color w:val="000000"/>
      <w:u w:color="000000"/>
      <w:lang w:val="en-US"/>
    </w:rPr>
  </w:style>
  <w:style w:type="paragraph" w:customStyle="1" w:styleId="SmallTitle2">
    <w:name w:val="Small Title_2"/>
    <w:basedOn w:val="Normal"/>
    <w:qFormat/>
    <w:rsid w:val="00232690"/>
    <w:pPr>
      <w:jc w:val="both"/>
      <w:outlineLvl w:val="0"/>
    </w:pPr>
    <w:rPr>
      <w:rFonts w:eastAsia="Arial Unicode MS"/>
      <w:color w:val="000000"/>
      <w:u w:color="000000"/>
      <w:lang w:val="en-US" w:eastAsia="de-CH"/>
    </w:rPr>
  </w:style>
  <w:style w:type="paragraph" w:customStyle="1" w:styleId="Question41">
    <w:name w:val="Question_4_1"/>
    <w:basedOn w:val="Normal"/>
    <w:qFormat/>
    <w:rsid w:val="00232690"/>
    <w:pPr>
      <w:numPr>
        <w:numId w:val="6"/>
      </w:numPr>
      <w:jc w:val="both"/>
      <w:outlineLvl w:val="0"/>
    </w:pPr>
    <w:rPr>
      <w:rFonts w:eastAsia="Arial Unicode MS"/>
      <w:color w:val="000000"/>
      <w:u w:color="000000"/>
      <w:lang w:val="en-US"/>
    </w:rPr>
  </w:style>
  <w:style w:type="paragraph" w:customStyle="1" w:styleId="ImportWordListStyleDefinition3">
    <w:name w:val="Import Word List Style Definition 3"/>
    <w:rsid w:val="001A43BE"/>
    <w:pPr>
      <w:numPr>
        <w:numId w:val="1"/>
      </w:numPr>
      <w:spacing w:after="0" w:line="240" w:lineRule="auto"/>
    </w:pPr>
    <w:rPr>
      <w:rFonts w:ascii="Times New Roman" w:eastAsia="Times New Roman" w:hAnsi="Times New Roman" w:cs="Times New Roman"/>
      <w:sz w:val="20"/>
      <w:szCs w:val="20"/>
      <w:lang w:eastAsia="de-CH"/>
    </w:rPr>
  </w:style>
  <w:style w:type="paragraph" w:styleId="Paragraphedeliste">
    <w:name w:val="List Paragraph"/>
    <w:basedOn w:val="Normal"/>
    <w:uiPriority w:val="34"/>
    <w:qFormat/>
    <w:rsid w:val="00AC6537"/>
    <w:pPr>
      <w:ind w:left="720"/>
      <w:contextualSpacing/>
    </w:pPr>
  </w:style>
  <w:style w:type="character" w:styleId="Accentuation">
    <w:name w:val="Emphasis"/>
    <w:basedOn w:val="Policepardfaut"/>
    <w:uiPriority w:val="20"/>
    <w:qFormat/>
    <w:rsid w:val="00110701"/>
    <w:rPr>
      <w:b/>
      <w:bCs/>
      <w:i w:val="0"/>
      <w:iCs w:val="0"/>
    </w:rPr>
  </w:style>
  <w:style w:type="character" w:customStyle="1" w:styleId="st">
    <w:name w:val="st"/>
    <w:basedOn w:val="Policepardfaut"/>
    <w:rsid w:val="00110701"/>
  </w:style>
  <w:style w:type="paragraph" w:styleId="Rvision">
    <w:name w:val="Revision"/>
    <w:hidden/>
    <w:uiPriority w:val="99"/>
    <w:semiHidden/>
    <w:rsid w:val="00C242B9"/>
    <w:pPr>
      <w:spacing w:after="0" w:line="240" w:lineRule="auto"/>
    </w:pPr>
    <w:rPr>
      <w:rFonts w:ascii="Arial" w:eastAsia="Times New Roman" w:hAnsi="Arial" w:cs="Arial"/>
      <w:lang w:val="de-DE"/>
    </w:rPr>
  </w:style>
  <w:style w:type="character" w:styleId="Lienhypertexte">
    <w:name w:val="Hyperlink"/>
    <w:basedOn w:val="Policepardfaut"/>
    <w:uiPriority w:val="99"/>
    <w:unhideWhenUsed/>
    <w:rsid w:val="001B2152"/>
    <w:rPr>
      <w:color w:val="0000FF" w:themeColor="hyperlink"/>
      <w:u w:val="single"/>
    </w:rPr>
  </w:style>
  <w:style w:type="paragraph" w:styleId="Notedebasdepage">
    <w:name w:val="footnote text"/>
    <w:basedOn w:val="Normal"/>
    <w:link w:val="NotedebasdepageCar"/>
    <w:uiPriority w:val="99"/>
    <w:unhideWhenUsed/>
    <w:rsid w:val="00FD26A9"/>
    <w:rPr>
      <w:sz w:val="20"/>
      <w:szCs w:val="20"/>
    </w:rPr>
  </w:style>
  <w:style w:type="character" w:customStyle="1" w:styleId="NotedebasdepageCar">
    <w:name w:val="Note de bas de page Car"/>
    <w:basedOn w:val="Policepardfaut"/>
    <w:link w:val="Notedebasdepage"/>
    <w:uiPriority w:val="99"/>
    <w:rsid w:val="00FD26A9"/>
    <w:rPr>
      <w:rFonts w:ascii="Arial" w:eastAsia="Times New Roman" w:hAnsi="Arial" w:cs="Arial"/>
      <w:sz w:val="20"/>
      <w:szCs w:val="20"/>
      <w:lang w:val="de-DE"/>
    </w:rPr>
  </w:style>
  <w:style w:type="character" w:styleId="Appelnotedebasdep">
    <w:name w:val="footnote reference"/>
    <w:basedOn w:val="Policepardfaut"/>
    <w:uiPriority w:val="99"/>
    <w:semiHidden/>
    <w:unhideWhenUsed/>
    <w:rsid w:val="00FD26A9"/>
    <w:rPr>
      <w:vertAlign w:val="superscript"/>
    </w:rPr>
  </w:style>
  <w:style w:type="character" w:styleId="Marquedecommentaire">
    <w:name w:val="annotation reference"/>
    <w:basedOn w:val="Policepardfaut"/>
    <w:uiPriority w:val="99"/>
    <w:semiHidden/>
    <w:unhideWhenUsed/>
    <w:rsid w:val="003B63A4"/>
    <w:rPr>
      <w:sz w:val="16"/>
      <w:szCs w:val="16"/>
    </w:rPr>
  </w:style>
  <w:style w:type="paragraph" w:styleId="Commentaire">
    <w:name w:val="annotation text"/>
    <w:basedOn w:val="Normal"/>
    <w:link w:val="CommentaireCar"/>
    <w:uiPriority w:val="99"/>
    <w:semiHidden/>
    <w:unhideWhenUsed/>
    <w:rsid w:val="003B63A4"/>
    <w:rPr>
      <w:sz w:val="20"/>
      <w:szCs w:val="20"/>
    </w:rPr>
  </w:style>
  <w:style w:type="character" w:customStyle="1" w:styleId="CommentaireCar">
    <w:name w:val="Commentaire Car"/>
    <w:basedOn w:val="Policepardfaut"/>
    <w:link w:val="Commentaire"/>
    <w:uiPriority w:val="99"/>
    <w:semiHidden/>
    <w:rsid w:val="003B63A4"/>
    <w:rPr>
      <w:rFonts w:ascii="Arial" w:eastAsia="Times New Roman" w:hAnsi="Arial" w:cs="Arial"/>
      <w:sz w:val="20"/>
      <w:szCs w:val="20"/>
      <w:lang w:val="de-DE"/>
    </w:rPr>
  </w:style>
  <w:style w:type="paragraph" w:styleId="Objetducommentaire">
    <w:name w:val="annotation subject"/>
    <w:basedOn w:val="Commentaire"/>
    <w:next w:val="Commentaire"/>
    <w:link w:val="ObjetducommentaireCar"/>
    <w:uiPriority w:val="99"/>
    <w:semiHidden/>
    <w:unhideWhenUsed/>
    <w:rsid w:val="003B63A4"/>
    <w:rPr>
      <w:b/>
      <w:bCs/>
    </w:rPr>
  </w:style>
  <w:style w:type="character" w:customStyle="1" w:styleId="ObjetducommentaireCar">
    <w:name w:val="Objet du commentaire Car"/>
    <w:basedOn w:val="CommentaireCar"/>
    <w:link w:val="Objetducommentaire"/>
    <w:uiPriority w:val="99"/>
    <w:semiHidden/>
    <w:rsid w:val="003B63A4"/>
    <w:rPr>
      <w:rFonts w:ascii="Arial" w:eastAsia="Times New Roman" w:hAnsi="Arial" w:cs="Arial"/>
      <w:b/>
      <w:bCs/>
      <w:sz w:val="20"/>
      <w:szCs w:val="20"/>
      <w:lang w:val="de-DE"/>
    </w:rPr>
  </w:style>
  <w:style w:type="paragraph" w:styleId="Notedefin">
    <w:name w:val="endnote text"/>
    <w:basedOn w:val="Normal"/>
    <w:link w:val="NotedefinCar"/>
    <w:uiPriority w:val="99"/>
    <w:semiHidden/>
    <w:unhideWhenUsed/>
    <w:rsid w:val="003E0FAF"/>
    <w:rPr>
      <w:sz w:val="20"/>
      <w:szCs w:val="20"/>
    </w:rPr>
  </w:style>
  <w:style w:type="character" w:customStyle="1" w:styleId="NotedefinCar">
    <w:name w:val="Note de fin Car"/>
    <w:basedOn w:val="Policepardfaut"/>
    <w:link w:val="Notedefin"/>
    <w:uiPriority w:val="99"/>
    <w:semiHidden/>
    <w:rsid w:val="003E0FAF"/>
    <w:rPr>
      <w:rFonts w:ascii="Arial" w:eastAsia="Times New Roman" w:hAnsi="Arial" w:cs="Arial"/>
      <w:sz w:val="20"/>
      <w:szCs w:val="20"/>
      <w:lang w:val="en-AU"/>
    </w:rPr>
  </w:style>
  <w:style w:type="character" w:styleId="Appeldenotedefin">
    <w:name w:val="endnote reference"/>
    <w:basedOn w:val="Policepardfaut"/>
    <w:uiPriority w:val="99"/>
    <w:semiHidden/>
    <w:unhideWhenUsed/>
    <w:rsid w:val="003E0FAF"/>
    <w:rPr>
      <w:vertAlign w:val="superscript"/>
    </w:rPr>
  </w:style>
  <w:style w:type="paragraph" w:customStyle="1" w:styleId="Default">
    <w:name w:val="Default"/>
    <w:rsid w:val="00CE10A7"/>
    <w:pPr>
      <w:autoSpaceDE w:val="0"/>
      <w:autoSpaceDN w:val="0"/>
      <w:adjustRightInd w:val="0"/>
      <w:spacing w:after="0" w:line="240" w:lineRule="auto"/>
    </w:pPr>
    <w:rPr>
      <w:rFonts w:ascii="Arial" w:hAnsi="Arial" w:cs="Arial"/>
      <w:color w:val="000000"/>
      <w:sz w:val="24"/>
      <w:szCs w:val="24"/>
      <w:lang w:val="nl-NL"/>
    </w:rPr>
  </w:style>
  <w:style w:type="paragraph" w:styleId="Citation">
    <w:name w:val="Quote"/>
    <w:basedOn w:val="Normal"/>
    <w:next w:val="Normal"/>
    <w:link w:val="CitationCar"/>
    <w:uiPriority w:val="29"/>
    <w:qFormat/>
    <w:rsid w:val="00774058"/>
    <w:pPr>
      <w:spacing w:after="120" w:line="264" w:lineRule="auto"/>
      <w:ind w:left="709"/>
    </w:pPr>
    <w:rPr>
      <w:i/>
      <w:iCs/>
      <w:noProof/>
      <w:color w:val="000000" w:themeColor="text1"/>
    </w:rPr>
  </w:style>
  <w:style w:type="character" w:customStyle="1" w:styleId="CitationCar">
    <w:name w:val="Citation Car"/>
    <w:basedOn w:val="Policepardfaut"/>
    <w:link w:val="Citation"/>
    <w:uiPriority w:val="29"/>
    <w:rsid w:val="00774058"/>
    <w:rPr>
      <w:rFonts w:ascii="Arial" w:eastAsia="Times New Roman" w:hAnsi="Arial" w:cs="Arial"/>
      <w:i/>
      <w:iCs/>
      <w:noProof/>
      <w:color w:val="000000" w:themeColor="text1"/>
      <w:lang w:val="en-AU"/>
    </w:rPr>
  </w:style>
  <w:style w:type="paragraph" w:customStyle="1" w:styleId="para1">
    <w:name w:val="para_1"/>
    <w:basedOn w:val="Question1"/>
    <w:rsid w:val="000B284A"/>
    <w:pPr>
      <w:numPr>
        <w:ilvl w:val="0"/>
      </w:numPr>
    </w:pPr>
  </w:style>
  <w:style w:type="paragraph" w:customStyle="1" w:styleId="Underlineheading">
    <w:name w:val="Underline heading"/>
    <w:basedOn w:val="Normal"/>
    <w:rsid w:val="00646603"/>
    <w:pPr>
      <w:spacing w:after="120" w:line="264" w:lineRule="auto"/>
    </w:pPr>
    <w:rPr>
      <w:noProof/>
      <w:u w:val="single"/>
    </w:rPr>
  </w:style>
  <w:style w:type="paragraph" w:customStyle="1" w:styleId="Dash">
    <w:name w:val="Dash"/>
    <w:basedOn w:val="Normal"/>
    <w:rsid w:val="008D1064"/>
    <w:pPr>
      <w:spacing w:after="120" w:line="264" w:lineRule="auto"/>
      <w:ind w:left="1418" w:hanging="709"/>
      <w:jc w:val="both"/>
      <w:outlineLvl w:val="0"/>
    </w:pPr>
    <w:rPr>
      <w:noProof/>
    </w:rPr>
  </w:style>
  <w:style w:type="paragraph" w:customStyle="1" w:styleId="Bodyindent">
    <w:name w:val="Body indent"/>
    <w:basedOn w:val="Normal"/>
    <w:rsid w:val="00683C06"/>
    <w:pPr>
      <w:spacing w:after="120" w:line="264" w:lineRule="auto"/>
      <w:ind w:left="708"/>
    </w:pPr>
    <w:rPr>
      <w:noProof/>
    </w:rPr>
  </w:style>
  <w:style w:type="paragraph" w:customStyle="1" w:styleId="HeadingBold">
    <w:name w:val="Heading Bold"/>
    <w:basedOn w:val="Normal"/>
    <w:next w:val="Para-1"/>
    <w:rsid w:val="000E1CEF"/>
    <w:pPr>
      <w:keepNext/>
      <w:keepLines/>
      <w:numPr>
        <w:numId w:val="47"/>
      </w:numPr>
      <w:spacing w:before="200" w:line="276" w:lineRule="auto"/>
    </w:pPr>
    <w:rPr>
      <w:rFonts w:eastAsiaTheme="minorHAnsi" w:cstheme="minorBidi"/>
      <w:b/>
    </w:rPr>
  </w:style>
  <w:style w:type="paragraph" w:customStyle="1" w:styleId="HeadingUnderline">
    <w:name w:val="Heading Underline"/>
    <w:basedOn w:val="Normal"/>
    <w:rsid w:val="000E1CEF"/>
    <w:pPr>
      <w:keepNext/>
      <w:keepLines/>
      <w:numPr>
        <w:ilvl w:val="1"/>
        <w:numId w:val="47"/>
      </w:numPr>
      <w:spacing w:before="200" w:line="276" w:lineRule="auto"/>
    </w:pPr>
    <w:rPr>
      <w:rFonts w:eastAsiaTheme="minorHAnsi" w:cstheme="minorBidi"/>
      <w:u w:val="single"/>
      <w:lang w:eastAsia="ja-JP"/>
    </w:rPr>
  </w:style>
  <w:style w:type="paragraph" w:customStyle="1" w:styleId="Para-1">
    <w:name w:val="Para - 1)"/>
    <w:basedOn w:val="Normal"/>
    <w:rsid w:val="000E1CEF"/>
    <w:pPr>
      <w:numPr>
        <w:ilvl w:val="2"/>
        <w:numId w:val="47"/>
      </w:numPr>
      <w:spacing w:before="200" w:line="276" w:lineRule="auto"/>
    </w:pPr>
    <w:rPr>
      <w:rFonts w:eastAsiaTheme="minorHAnsi" w:cstheme="minorBidi"/>
      <w:lang w:eastAsia="ja-JP"/>
    </w:rPr>
  </w:style>
  <w:style w:type="paragraph" w:customStyle="1" w:styleId="Para-a">
    <w:name w:val="Para - a)"/>
    <w:basedOn w:val="Normal"/>
    <w:rsid w:val="000E1CEF"/>
    <w:pPr>
      <w:numPr>
        <w:ilvl w:val="3"/>
        <w:numId w:val="47"/>
      </w:numPr>
      <w:spacing w:before="200" w:line="276" w:lineRule="auto"/>
    </w:pPr>
    <w:rPr>
      <w:rFonts w:eastAsiaTheme="minorHAnsi" w:cstheme="minorBidi"/>
      <w:lang w:eastAsia="ja-JP"/>
    </w:rPr>
  </w:style>
  <w:style w:type="paragraph" w:customStyle="1" w:styleId="Para-i">
    <w:name w:val="Para - i)"/>
    <w:basedOn w:val="Normal"/>
    <w:rsid w:val="000E1CEF"/>
    <w:pPr>
      <w:numPr>
        <w:ilvl w:val="4"/>
        <w:numId w:val="47"/>
      </w:numPr>
      <w:spacing w:before="200" w:line="276" w:lineRule="auto"/>
    </w:pPr>
    <w:rPr>
      <w:rFonts w:eastAsiaTheme="minorHAnsi" w:cstheme="minorBidi"/>
    </w:rPr>
  </w:style>
  <w:style w:type="paragraph" w:customStyle="1" w:styleId="QHeadingI">
    <w:name w:val="Q Heading I"/>
    <w:basedOn w:val="Normal"/>
    <w:rsid w:val="000E1CEF"/>
    <w:pPr>
      <w:keepNext/>
      <w:keepLines/>
      <w:numPr>
        <w:ilvl w:val="5"/>
        <w:numId w:val="47"/>
      </w:numPr>
      <w:spacing w:before="200" w:line="276" w:lineRule="auto"/>
    </w:pPr>
    <w:rPr>
      <w:rFonts w:eastAsiaTheme="minorHAnsi" w:cstheme="minorBidi"/>
      <w:b/>
    </w:rPr>
  </w:style>
  <w:style w:type="paragraph" w:customStyle="1" w:styleId="QPara-1">
    <w:name w:val="Q Para - 1)"/>
    <w:basedOn w:val="Normal"/>
    <w:rsid w:val="000E1CEF"/>
    <w:pPr>
      <w:numPr>
        <w:ilvl w:val="6"/>
        <w:numId w:val="47"/>
      </w:numPr>
      <w:spacing w:before="200" w:line="276" w:lineRule="auto"/>
    </w:pPr>
    <w:rPr>
      <w:rFonts w:eastAsiaTheme="minorHAnsi" w:cstheme="minorBidi"/>
    </w:rPr>
  </w:style>
  <w:style w:type="paragraph" w:customStyle="1" w:styleId="QPara-a">
    <w:name w:val="Q Para - a)"/>
    <w:basedOn w:val="Normal"/>
    <w:rsid w:val="000E1CEF"/>
    <w:pPr>
      <w:numPr>
        <w:ilvl w:val="7"/>
        <w:numId w:val="47"/>
      </w:numPr>
      <w:spacing w:before="200" w:line="276" w:lineRule="auto"/>
    </w:pPr>
    <w:rPr>
      <w:rFonts w:eastAsiaTheme="minorHAnsi" w:cstheme="minorBidi"/>
    </w:rPr>
  </w:style>
  <w:style w:type="paragraph" w:customStyle="1" w:styleId="DocumentHeading">
    <w:name w:val="Document Heading"/>
    <w:basedOn w:val="Normal"/>
    <w:rsid w:val="000E1CEF"/>
    <w:pPr>
      <w:spacing w:before="120" w:line="288" w:lineRule="auto"/>
      <w:jc w:val="center"/>
    </w:pPr>
    <w:rPr>
      <w:rFonts w:eastAsiaTheme="minorEastAsia"/>
      <w:b/>
      <w:sz w:val="24"/>
      <w:szCs w:val="24"/>
      <w:lang w:val="en-US"/>
    </w:rPr>
  </w:style>
  <w:style w:type="paragraph" w:styleId="Corpsdetexte">
    <w:name w:val="Body Text"/>
    <w:basedOn w:val="Normal"/>
    <w:link w:val="CorpsdetexteCar"/>
    <w:uiPriority w:val="99"/>
    <w:unhideWhenUsed/>
    <w:rsid w:val="000E1CEF"/>
    <w:rPr>
      <w:rFonts w:eastAsiaTheme="minorEastAsia" w:cstheme="minorBidi"/>
    </w:rPr>
  </w:style>
  <w:style w:type="character" w:customStyle="1" w:styleId="CorpsdetexteCar">
    <w:name w:val="Corps de texte Car"/>
    <w:basedOn w:val="Policepardfaut"/>
    <w:link w:val="Corpsdetexte"/>
    <w:uiPriority w:val="99"/>
    <w:rsid w:val="000E1CEF"/>
    <w:rPr>
      <w:rFonts w:ascii="Arial" w:eastAsiaTheme="minorEastAsia" w:hAnsi="Arial"/>
      <w:lang w:val="en-AU"/>
    </w:rPr>
  </w:style>
  <w:style w:type="paragraph" w:styleId="Retraitnormal">
    <w:name w:val="Normal Indent"/>
    <w:basedOn w:val="Normal"/>
    <w:uiPriority w:val="99"/>
    <w:unhideWhenUsed/>
    <w:rsid w:val="00457AE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0017">
      <w:bodyDiv w:val="1"/>
      <w:marLeft w:val="0"/>
      <w:marRight w:val="0"/>
      <w:marTop w:val="0"/>
      <w:marBottom w:val="0"/>
      <w:divBdr>
        <w:top w:val="none" w:sz="0" w:space="0" w:color="auto"/>
        <w:left w:val="none" w:sz="0" w:space="0" w:color="auto"/>
        <w:bottom w:val="none" w:sz="0" w:space="0" w:color="auto"/>
        <w:right w:val="none" w:sz="0" w:space="0" w:color="auto"/>
      </w:divBdr>
      <w:divsChild>
        <w:div w:id="1812017209">
          <w:marLeft w:val="0"/>
          <w:marRight w:val="0"/>
          <w:marTop w:val="0"/>
          <w:marBottom w:val="0"/>
          <w:divBdr>
            <w:top w:val="none" w:sz="0" w:space="0" w:color="auto"/>
            <w:left w:val="none" w:sz="0" w:space="0" w:color="auto"/>
            <w:bottom w:val="none" w:sz="0" w:space="0" w:color="auto"/>
            <w:right w:val="none" w:sz="0" w:space="0" w:color="auto"/>
          </w:divBdr>
        </w:div>
      </w:divsChild>
    </w:div>
    <w:div w:id="1167983802">
      <w:bodyDiv w:val="1"/>
      <w:marLeft w:val="0"/>
      <w:marRight w:val="0"/>
      <w:marTop w:val="0"/>
      <w:marBottom w:val="0"/>
      <w:divBdr>
        <w:top w:val="none" w:sz="0" w:space="0" w:color="auto"/>
        <w:left w:val="none" w:sz="0" w:space="0" w:color="auto"/>
        <w:bottom w:val="none" w:sz="0" w:space="0" w:color="auto"/>
        <w:right w:val="none" w:sz="0" w:space="0" w:color="auto"/>
      </w:divBdr>
      <w:divsChild>
        <w:div w:id="592472296">
          <w:marLeft w:val="0"/>
          <w:marRight w:val="0"/>
          <w:marTop w:val="0"/>
          <w:marBottom w:val="0"/>
          <w:divBdr>
            <w:top w:val="none" w:sz="0" w:space="0" w:color="auto"/>
            <w:left w:val="none" w:sz="0" w:space="0" w:color="auto"/>
            <w:bottom w:val="none" w:sz="0" w:space="0" w:color="auto"/>
            <w:right w:val="none" w:sz="0" w:space="0" w:color="auto"/>
          </w:divBdr>
        </w:div>
      </w:divsChild>
    </w:div>
    <w:div w:id="1321613839">
      <w:bodyDiv w:val="1"/>
      <w:marLeft w:val="0"/>
      <w:marRight w:val="0"/>
      <w:marTop w:val="0"/>
      <w:marBottom w:val="0"/>
      <w:divBdr>
        <w:top w:val="none" w:sz="0" w:space="0" w:color="auto"/>
        <w:left w:val="none" w:sz="0" w:space="0" w:color="auto"/>
        <w:bottom w:val="none" w:sz="0" w:space="0" w:color="auto"/>
        <w:right w:val="none" w:sz="0" w:space="0" w:color="auto"/>
      </w:divBdr>
      <w:divsChild>
        <w:div w:id="706639205">
          <w:marLeft w:val="0"/>
          <w:marRight w:val="0"/>
          <w:marTop w:val="0"/>
          <w:marBottom w:val="0"/>
          <w:divBdr>
            <w:top w:val="none" w:sz="0" w:space="0" w:color="auto"/>
            <w:left w:val="none" w:sz="0" w:space="0" w:color="auto"/>
            <w:bottom w:val="none" w:sz="0" w:space="0" w:color="auto"/>
            <w:right w:val="none" w:sz="0" w:space="0" w:color="auto"/>
          </w:divBdr>
          <w:divsChild>
            <w:div w:id="829907866">
              <w:marLeft w:val="0"/>
              <w:marRight w:val="0"/>
              <w:marTop w:val="0"/>
              <w:marBottom w:val="0"/>
              <w:divBdr>
                <w:top w:val="none" w:sz="0" w:space="0" w:color="auto"/>
                <w:left w:val="none" w:sz="0" w:space="0" w:color="auto"/>
                <w:bottom w:val="none" w:sz="0" w:space="0" w:color="auto"/>
                <w:right w:val="none" w:sz="0" w:space="0" w:color="auto"/>
              </w:divBdr>
              <w:divsChild>
                <w:div w:id="1640455870">
                  <w:marLeft w:val="0"/>
                  <w:marRight w:val="0"/>
                  <w:marTop w:val="0"/>
                  <w:marBottom w:val="0"/>
                  <w:divBdr>
                    <w:top w:val="none" w:sz="0" w:space="0" w:color="auto"/>
                    <w:left w:val="none" w:sz="0" w:space="0" w:color="auto"/>
                    <w:bottom w:val="none" w:sz="0" w:space="0" w:color="auto"/>
                    <w:right w:val="none" w:sz="0" w:space="0" w:color="auto"/>
                  </w:divBdr>
                  <w:divsChild>
                    <w:div w:id="19241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8443">
      <w:bodyDiv w:val="1"/>
      <w:marLeft w:val="0"/>
      <w:marRight w:val="0"/>
      <w:marTop w:val="0"/>
      <w:marBottom w:val="0"/>
      <w:divBdr>
        <w:top w:val="none" w:sz="0" w:space="0" w:color="auto"/>
        <w:left w:val="none" w:sz="0" w:space="0" w:color="auto"/>
        <w:bottom w:val="none" w:sz="0" w:space="0" w:color="auto"/>
        <w:right w:val="none" w:sz="0" w:space="0" w:color="auto"/>
      </w:divBdr>
      <w:divsChild>
        <w:div w:id="346834351">
          <w:marLeft w:val="547"/>
          <w:marRight w:val="0"/>
          <w:marTop w:val="154"/>
          <w:marBottom w:val="0"/>
          <w:divBdr>
            <w:top w:val="none" w:sz="0" w:space="0" w:color="auto"/>
            <w:left w:val="none" w:sz="0" w:space="0" w:color="auto"/>
            <w:bottom w:val="none" w:sz="0" w:space="0" w:color="auto"/>
            <w:right w:val="none" w:sz="0" w:space="0" w:color="auto"/>
          </w:divBdr>
        </w:div>
        <w:div w:id="1896816617">
          <w:marLeft w:val="547"/>
          <w:marRight w:val="0"/>
          <w:marTop w:val="154"/>
          <w:marBottom w:val="0"/>
          <w:divBdr>
            <w:top w:val="none" w:sz="0" w:space="0" w:color="auto"/>
            <w:left w:val="none" w:sz="0" w:space="0" w:color="auto"/>
            <w:bottom w:val="none" w:sz="0" w:space="0" w:color="auto"/>
            <w:right w:val="none" w:sz="0" w:space="0" w:color="auto"/>
          </w:divBdr>
        </w:div>
        <w:div w:id="743800230">
          <w:marLeft w:val="547"/>
          <w:marRight w:val="0"/>
          <w:marTop w:val="154"/>
          <w:marBottom w:val="0"/>
          <w:divBdr>
            <w:top w:val="none" w:sz="0" w:space="0" w:color="auto"/>
            <w:left w:val="none" w:sz="0" w:space="0" w:color="auto"/>
            <w:bottom w:val="none" w:sz="0" w:space="0" w:color="auto"/>
            <w:right w:val="none" w:sz="0" w:space="0" w:color="auto"/>
          </w:divBdr>
        </w:div>
        <w:div w:id="711929360">
          <w:marLeft w:val="547"/>
          <w:marRight w:val="0"/>
          <w:marTop w:val="154"/>
          <w:marBottom w:val="0"/>
          <w:divBdr>
            <w:top w:val="none" w:sz="0" w:space="0" w:color="auto"/>
            <w:left w:val="none" w:sz="0" w:space="0" w:color="auto"/>
            <w:bottom w:val="none" w:sz="0" w:space="0" w:color="auto"/>
            <w:right w:val="none" w:sz="0" w:space="0" w:color="auto"/>
          </w:divBdr>
        </w:div>
        <w:div w:id="340593185">
          <w:marLeft w:val="547"/>
          <w:marRight w:val="0"/>
          <w:marTop w:val="154"/>
          <w:marBottom w:val="0"/>
          <w:divBdr>
            <w:top w:val="none" w:sz="0" w:space="0" w:color="auto"/>
            <w:left w:val="none" w:sz="0" w:space="0" w:color="auto"/>
            <w:bottom w:val="none" w:sz="0" w:space="0" w:color="auto"/>
            <w:right w:val="none" w:sz="0" w:space="0" w:color="auto"/>
          </w:divBdr>
        </w:div>
        <w:div w:id="351541552">
          <w:marLeft w:val="547"/>
          <w:marRight w:val="0"/>
          <w:marTop w:val="154"/>
          <w:marBottom w:val="0"/>
          <w:divBdr>
            <w:top w:val="none" w:sz="0" w:space="0" w:color="auto"/>
            <w:left w:val="none" w:sz="0" w:space="0" w:color="auto"/>
            <w:bottom w:val="none" w:sz="0" w:space="0" w:color="auto"/>
            <w:right w:val="none" w:sz="0" w:space="0" w:color="auto"/>
          </w:divBdr>
        </w:div>
      </w:divsChild>
    </w:div>
    <w:div w:id="1618369799">
      <w:bodyDiv w:val="1"/>
      <w:marLeft w:val="0"/>
      <w:marRight w:val="0"/>
      <w:marTop w:val="0"/>
      <w:marBottom w:val="0"/>
      <w:divBdr>
        <w:top w:val="none" w:sz="0" w:space="0" w:color="auto"/>
        <w:left w:val="none" w:sz="0" w:space="0" w:color="auto"/>
        <w:bottom w:val="none" w:sz="0" w:space="0" w:color="auto"/>
        <w:right w:val="none" w:sz="0" w:space="0" w:color="auto"/>
      </w:divBdr>
      <w:divsChild>
        <w:div w:id="359086977">
          <w:marLeft w:val="0"/>
          <w:marRight w:val="0"/>
          <w:marTop w:val="0"/>
          <w:marBottom w:val="0"/>
          <w:divBdr>
            <w:top w:val="none" w:sz="0" w:space="0" w:color="auto"/>
            <w:left w:val="none" w:sz="0" w:space="0" w:color="auto"/>
            <w:bottom w:val="none" w:sz="0" w:space="0" w:color="auto"/>
            <w:right w:val="none" w:sz="0" w:space="0" w:color="auto"/>
          </w:divBdr>
          <w:divsChild>
            <w:div w:id="1830318072">
              <w:marLeft w:val="0"/>
              <w:marRight w:val="0"/>
              <w:marTop w:val="1275"/>
              <w:marBottom w:val="0"/>
              <w:divBdr>
                <w:top w:val="none" w:sz="0" w:space="0" w:color="auto"/>
                <w:left w:val="none" w:sz="0" w:space="0" w:color="auto"/>
                <w:bottom w:val="none" w:sz="0" w:space="0" w:color="auto"/>
                <w:right w:val="none" w:sz="0" w:space="0" w:color="auto"/>
              </w:divBdr>
              <w:divsChild>
                <w:div w:id="1926651646">
                  <w:marLeft w:val="2700"/>
                  <w:marRight w:val="0"/>
                  <w:marTop w:val="0"/>
                  <w:marBottom w:val="0"/>
                  <w:divBdr>
                    <w:top w:val="none" w:sz="0" w:space="0" w:color="auto"/>
                    <w:left w:val="none" w:sz="0" w:space="0" w:color="auto"/>
                    <w:bottom w:val="none" w:sz="0" w:space="0" w:color="auto"/>
                    <w:right w:val="none" w:sz="0" w:space="0" w:color="auto"/>
                  </w:divBdr>
                  <w:divsChild>
                    <w:div w:id="913859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167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4144</Words>
  <Characters>22792</Characters>
  <Application>Microsoft Office Word</Application>
  <DocSecurity>0</DocSecurity>
  <Lines>189</Lines>
  <Paragraphs>53</Paragraphs>
  <ScaleCrop>false</ScaleCrop>
  <LinksUpToDate>false</LinksUpToDate>
  <CharactersWithSpaces>26883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2017-12-20T09:27:00Z</dcterms:created>
  <dcterms:modified xsi:type="dcterms:W3CDTF">2017-12-20T09:27:00Z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State">
    <vt:bool>true</vt:bool>
  </property>
  <property fmtid="{D5CDD505-2E9C-101B-9397-08002B2CF9AE}" pid="3" name="DOCSFooter">
    <vt:lpwstr>slmm A0138262094v1 305680836 </vt:lpwstr>
  </property>
  <property fmtid="{D5CDD505-2E9C-101B-9397-08002B2CF9AE}" pid="4" name="DOCSDocNumber">
    <vt:lpwstr>38262094</vt:lpwstr>
  </property>
  <property fmtid="{D5CDD505-2E9C-101B-9397-08002B2CF9AE}" pid="5" name="DOCSDocumentID">
    <vt:lpwstr>A0138262094</vt:lpwstr>
  </property>
  <property fmtid="{D5CDD505-2E9C-101B-9397-08002B2CF9AE}" pid="6" name="DOCSDocName">
    <vt:lpwstr>FINAL website version - Bad faith trademarks</vt:lpwstr>
  </property>
  <property fmtid="{D5CDD505-2E9C-101B-9397-08002B2CF9AE}" pid="7" name="DOCSAuthorID">
    <vt:lpwstr>slmm</vt:lpwstr>
  </property>
  <property fmtid="{D5CDD505-2E9C-101B-9397-08002B2CF9AE}" pid="8" name="DOCSAuthorName">
    <vt:lpwstr>Matheson, Sarah</vt:lpwstr>
  </property>
  <property fmtid="{D5CDD505-2E9C-101B-9397-08002B2CF9AE}" pid="9" name="DOCSMatterID">
    <vt:lpwstr>305680836</vt:lpwstr>
  </property>
  <property fmtid="{D5CDD505-2E9C-101B-9397-08002B2CF9AE}" pid="10" name="DOCSMatterName">
    <vt:lpwstr>AIPPI Committee</vt:lpwstr>
  </property>
  <property fmtid="{D5CDD505-2E9C-101B-9397-08002B2CF9AE}" pid="11" name="DOCSTypistID">
    <vt:lpwstr>KLWM</vt:lpwstr>
  </property>
  <property fmtid="{D5CDD505-2E9C-101B-9397-08002B2CF9AE}" pid="12" name="DOCSTypistName">
    <vt:lpwstr>Wallace, Kathryn</vt:lpwstr>
  </property>
  <property fmtid="{D5CDD505-2E9C-101B-9397-08002B2CF9AE}" pid="13" name="DOCSDocTypeID">
    <vt:lpwstr>Document</vt:lpwstr>
  </property>
  <property fmtid="{D5CDD505-2E9C-101B-9397-08002B2CF9AE}" pid="14" name="DOCSCreationDate">
    <vt:filetime>2016-12-20T03:36:48Z</vt:filetime>
  </property>
  <property fmtid="{D5CDD505-2E9C-101B-9397-08002B2CF9AE}" pid="15" name="DOCSLastEditDate">
    <vt:filetime>2016-12-21T10:47:48Z</vt:filetime>
  </property>
  <property fmtid="{D5CDD505-2E9C-101B-9397-08002B2CF9AE}" pid="16" name="DOCSClientID">
    <vt:lpwstr>1054473</vt:lpwstr>
  </property>
  <property fmtid="{D5CDD505-2E9C-101B-9397-08002B2CF9AE}" pid="17" name="DOCSClientName">
    <vt:lpwstr>Allens</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1</vt:lpwstr>
  </property>
</Properties>
</file>